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58BC7" w14:textId="77777777" w:rsidR="00EC7A75" w:rsidRPr="0053577B" w:rsidRDefault="00EC7A75" w:rsidP="0053577B">
      <w:pPr>
        <w:snapToGrid w:val="0"/>
        <w:jc w:val="both"/>
        <w:rPr>
          <w:b/>
          <w:sz w:val="24"/>
          <w:szCs w:val="24"/>
          <w:lang w:val="en-US"/>
        </w:rPr>
      </w:pPr>
      <w:r w:rsidRPr="0053577B">
        <w:rPr>
          <w:noProof/>
          <w:sz w:val="24"/>
          <w:szCs w:val="24"/>
          <w:lang w:val="en-US" w:eastAsia="zh-CN"/>
        </w:rPr>
        <w:drawing>
          <wp:anchor distT="0" distB="0" distL="114300" distR="114300" simplePos="0" relativeHeight="251661312" behindDoc="0" locked="0" layoutInCell="1" allowOverlap="1" wp14:anchorId="24741112" wp14:editId="13BFAFCA">
            <wp:simplePos x="0" y="0"/>
            <wp:positionH relativeFrom="column">
              <wp:posOffset>-400050</wp:posOffset>
            </wp:positionH>
            <wp:positionV relativeFrom="paragraph">
              <wp:posOffset>-54610</wp:posOffset>
            </wp:positionV>
            <wp:extent cx="6562725" cy="2141220"/>
            <wp:effectExtent l="19050" t="0" r="9525" b="0"/>
            <wp:wrapNone/>
            <wp:docPr id="5" name="Picture 5" descr="C:\Documents and Settings\uqsfox\Desktop\For an Assessment piece to be mar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qsfox\Desktop\For an Assessment piece to be marked.jpg"/>
                    <pic:cNvPicPr>
                      <a:picLocks noChangeAspect="1" noChangeArrowheads="1"/>
                    </pic:cNvPicPr>
                  </pic:nvPicPr>
                  <pic:blipFill>
                    <a:blip r:embed="rId9" cstate="print"/>
                    <a:srcRect b="76923"/>
                    <a:stretch>
                      <a:fillRect/>
                    </a:stretch>
                  </pic:blipFill>
                  <pic:spPr bwMode="auto">
                    <a:xfrm>
                      <a:off x="0" y="0"/>
                      <a:ext cx="6562725" cy="2141220"/>
                    </a:xfrm>
                    <a:prstGeom prst="rect">
                      <a:avLst/>
                    </a:prstGeom>
                    <a:noFill/>
                    <a:ln w="9525">
                      <a:noFill/>
                      <a:miter lim="800000"/>
                      <a:headEnd/>
                      <a:tailEnd/>
                    </a:ln>
                  </pic:spPr>
                </pic:pic>
              </a:graphicData>
            </a:graphic>
          </wp:anchor>
        </w:drawing>
      </w:r>
    </w:p>
    <w:p w14:paraId="1B500885" w14:textId="77777777" w:rsidR="00EC7A75" w:rsidRPr="0053577B" w:rsidRDefault="00EC7A75" w:rsidP="0053577B">
      <w:pPr>
        <w:snapToGrid w:val="0"/>
        <w:jc w:val="both"/>
        <w:rPr>
          <w:sz w:val="24"/>
          <w:szCs w:val="24"/>
          <w:lang w:val="en-US"/>
        </w:rPr>
      </w:pPr>
      <w:bookmarkStart w:id="0" w:name="_Toc1899706"/>
      <w:bookmarkStart w:id="1" w:name="_Toc67755723"/>
      <w:bookmarkStart w:id="2" w:name="_Toc68753580"/>
    </w:p>
    <w:p w14:paraId="686384C5" w14:textId="77777777" w:rsidR="00EC7A75" w:rsidRPr="0053577B" w:rsidRDefault="00EC7A75" w:rsidP="0053577B">
      <w:pPr>
        <w:snapToGrid w:val="0"/>
        <w:jc w:val="both"/>
        <w:rPr>
          <w:bCs/>
          <w:sz w:val="24"/>
          <w:szCs w:val="24"/>
          <w:lang w:val="en-US"/>
        </w:rPr>
      </w:pPr>
    </w:p>
    <w:p w14:paraId="4CE96B15" w14:textId="77777777" w:rsidR="00EC7A75" w:rsidRPr="0053577B" w:rsidRDefault="00EC7A75" w:rsidP="0053577B">
      <w:pPr>
        <w:snapToGrid w:val="0"/>
        <w:jc w:val="both"/>
        <w:rPr>
          <w:bCs/>
          <w:sz w:val="24"/>
          <w:szCs w:val="24"/>
          <w:lang w:val="en-US"/>
        </w:rPr>
      </w:pPr>
    </w:p>
    <w:p w14:paraId="31BDE596" w14:textId="77777777" w:rsidR="00EC7A75" w:rsidRPr="0053577B" w:rsidRDefault="00EC7A75" w:rsidP="0053577B">
      <w:pPr>
        <w:snapToGrid w:val="0"/>
        <w:jc w:val="both"/>
        <w:rPr>
          <w:bCs/>
          <w:sz w:val="24"/>
          <w:szCs w:val="24"/>
          <w:lang w:val="en-US"/>
        </w:rPr>
      </w:pPr>
    </w:p>
    <w:p w14:paraId="5D1D86FA" w14:textId="77777777" w:rsidR="00EC7A75" w:rsidRPr="0053577B" w:rsidRDefault="00EC7A75" w:rsidP="0053577B">
      <w:pPr>
        <w:snapToGrid w:val="0"/>
        <w:jc w:val="both"/>
        <w:rPr>
          <w:bCs/>
          <w:sz w:val="24"/>
          <w:szCs w:val="24"/>
          <w:lang w:val="en-US"/>
        </w:rPr>
      </w:pPr>
    </w:p>
    <w:p w14:paraId="50D01CB4" w14:textId="77777777" w:rsidR="00EC7A75" w:rsidRPr="0053577B" w:rsidRDefault="00EC7A75" w:rsidP="0053577B">
      <w:pPr>
        <w:snapToGrid w:val="0"/>
        <w:jc w:val="both"/>
        <w:rPr>
          <w:bCs/>
          <w:sz w:val="24"/>
          <w:szCs w:val="24"/>
          <w:lang w:val="en-US"/>
        </w:rPr>
      </w:pPr>
    </w:p>
    <w:p w14:paraId="5AEA1735" w14:textId="75E0C6A0" w:rsidR="00EC7A75" w:rsidRPr="0053577B" w:rsidRDefault="00EC7A75" w:rsidP="0053577B">
      <w:pPr>
        <w:snapToGrid w:val="0"/>
        <w:jc w:val="both"/>
        <w:rPr>
          <w:sz w:val="24"/>
          <w:szCs w:val="24"/>
          <w:lang w:val="en-US"/>
        </w:rPr>
      </w:pPr>
      <w:r w:rsidRPr="0053577B">
        <w:rPr>
          <w:bCs/>
          <w:sz w:val="24"/>
          <w:szCs w:val="24"/>
          <w:lang w:val="en-US"/>
        </w:rPr>
        <w:t xml:space="preserve">Course Code   </w:t>
      </w:r>
      <w:r w:rsidRPr="0053577B">
        <w:rPr>
          <w:bCs/>
          <w:sz w:val="24"/>
          <w:szCs w:val="24"/>
          <w:lang w:val="en-US"/>
        </w:rPr>
        <w:tab/>
      </w:r>
      <w:r w:rsidR="00F05650" w:rsidRPr="0053577B">
        <w:rPr>
          <w:bCs/>
          <w:sz w:val="24"/>
          <w:szCs w:val="24"/>
          <w:lang w:val="en-US"/>
        </w:rPr>
        <w:tab/>
      </w:r>
      <w:r w:rsidR="005E2D3D" w:rsidRPr="0053577B">
        <w:rPr>
          <w:sz w:val="24"/>
          <w:szCs w:val="24"/>
          <w:u w:val="single"/>
          <w:lang w:val="en-US"/>
        </w:rPr>
        <w:fldChar w:fldCharType="begin">
          <w:ffData>
            <w:name w:val="Text1"/>
            <w:enabled/>
            <w:calcOnExit w:val="0"/>
            <w:textInput/>
          </w:ffData>
        </w:fldChar>
      </w:r>
      <w:bookmarkStart w:id="3" w:name="Text1"/>
      <w:r w:rsidRPr="0053577B">
        <w:rPr>
          <w:sz w:val="24"/>
          <w:szCs w:val="24"/>
          <w:u w:val="single"/>
          <w:lang w:val="en-US"/>
        </w:rPr>
        <w:instrText xml:space="preserve"> FORMTEXT </w:instrText>
      </w:r>
      <w:r w:rsidR="005E2D3D" w:rsidRPr="0053577B">
        <w:rPr>
          <w:sz w:val="24"/>
          <w:szCs w:val="24"/>
          <w:u w:val="single"/>
          <w:lang w:val="en-US"/>
        </w:rPr>
      </w:r>
      <w:r w:rsidR="005E2D3D" w:rsidRPr="0053577B">
        <w:rPr>
          <w:sz w:val="24"/>
          <w:szCs w:val="24"/>
          <w:u w:val="single"/>
          <w:lang w:val="en-US"/>
        </w:rPr>
        <w:fldChar w:fldCharType="separate"/>
      </w:r>
      <w:r w:rsidR="00E74E69" w:rsidRPr="0053577B">
        <w:rPr>
          <w:sz w:val="24"/>
          <w:szCs w:val="24"/>
          <w:u w:val="single"/>
          <w:lang w:val="en-US"/>
        </w:rPr>
        <w:t> </w:t>
      </w:r>
      <w:r w:rsidR="00AC1A10" w:rsidRPr="0053577B">
        <w:rPr>
          <w:sz w:val="24"/>
          <w:szCs w:val="24"/>
          <w:u w:val="single"/>
          <w:lang w:val="en-US"/>
        </w:rPr>
        <w:t>BIOM3015</w:t>
      </w:r>
      <w:r w:rsidR="00E74E69" w:rsidRPr="0053577B">
        <w:rPr>
          <w:sz w:val="24"/>
          <w:szCs w:val="24"/>
          <w:u w:val="single"/>
          <w:lang w:val="en-US"/>
        </w:rPr>
        <w:t> </w:t>
      </w:r>
      <w:r w:rsidR="00E74E69" w:rsidRPr="0053577B">
        <w:rPr>
          <w:sz w:val="24"/>
          <w:szCs w:val="24"/>
          <w:u w:val="single"/>
          <w:lang w:val="en-US"/>
        </w:rPr>
        <w:t> </w:t>
      </w:r>
      <w:r w:rsidR="00E74E69" w:rsidRPr="0053577B">
        <w:rPr>
          <w:sz w:val="24"/>
          <w:szCs w:val="24"/>
          <w:u w:val="single"/>
          <w:lang w:val="en-US"/>
        </w:rPr>
        <w:t> </w:t>
      </w:r>
      <w:r w:rsidR="00E74E69" w:rsidRPr="0053577B">
        <w:rPr>
          <w:sz w:val="24"/>
          <w:szCs w:val="24"/>
          <w:u w:val="single"/>
          <w:lang w:val="en-US"/>
        </w:rPr>
        <w:t> </w:t>
      </w:r>
      <w:r w:rsidR="005E2D3D" w:rsidRPr="0053577B">
        <w:rPr>
          <w:sz w:val="24"/>
          <w:szCs w:val="24"/>
          <w:u w:val="single"/>
        </w:rPr>
        <w:fldChar w:fldCharType="end"/>
      </w:r>
      <w:bookmarkEnd w:id="3"/>
    </w:p>
    <w:p w14:paraId="618922B8" w14:textId="77777777" w:rsidR="00EC7A75" w:rsidRPr="0053577B" w:rsidRDefault="00EC7A75" w:rsidP="0053577B">
      <w:pPr>
        <w:snapToGrid w:val="0"/>
        <w:jc w:val="both"/>
        <w:rPr>
          <w:sz w:val="24"/>
          <w:szCs w:val="24"/>
          <w:lang w:val="en-US"/>
        </w:rPr>
      </w:pPr>
      <w:r w:rsidRPr="0053577B">
        <w:rPr>
          <w:bCs/>
          <w:sz w:val="24"/>
          <w:szCs w:val="24"/>
          <w:lang w:val="en-US"/>
        </w:rPr>
        <w:t>Course Title</w:t>
      </w:r>
      <w:r w:rsidRPr="0053577B">
        <w:rPr>
          <w:sz w:val="24"/>
          <w:szCs w:val="24"/>
          <w:lang w:val="en-US"/>
        </w:rPr>
        <w:t xml:space="preserve">  </w:t>
      </w:r>
      <w:bookmarkStart w:id="4" w:name="Text2"/>
      <w:r w:rsidRPr="0053577B">
        <w:rPr>
          <w:sz w:val="24"/>
          <w:szCs w:val="24"/>
          <w:lang w:val="en-US"/>
        </w:rPr>
        <w:tab/>
      </w:r>
      <w:r w:rsidR="00F05650" w:rsidRPr="0053577B">
        <w:rPr>
          <w:sz w:val="24"/>
          <w:szCs w:val="24"/>
          <w:lang w:val="en-US"/>
        </w:rPr>
        <w:tab/>
      </w:r>
      <w:r w:rsidR="005E2D3D" w:rsidRPr="0053577B">
        <w:rPr>
          <w:sz w:val="24"/>
          <w:szCs w:val="24"/>
          <w:u w:val="single"/>
          <w:lang w:val="en-US"/>
        </w:rPr>
        <w:fldChar w:fldCharType="begin">
          <w:ffData>
            <w:name w:val=""/>
            <w:enabled/>
            <w:calcOnExit w:val="0"/>
            <w:textInput/>
          </w:ffData>
        </w:fldChar>
      </w:r>
      <w:r w:rsidRPr="0053577B">
        <w:rPr>
          <w:sz w:val="24"/>
          <w:szCs w:val="24"/>
          <w:u w:val="single"/>
          <w:lang w:val="en-US"/>
        </w:rPr>
        <w:instrText xml:space="preserve"> FORMTEXT </w:instrText>
      </w:r>
      <w:r w:rsidR="005E2D3D" w:rsidRPr="0053577B">
        <w:rPr>
          <w:sz w:val="24"/>
          <w:szCs w:val="24"/>
          <w:u w:val="single"/>
          <w:lang w:val="en-US"/>
        </w:rPr>
      </w:r>
      <w:r w:rsidR="005E2D3D" w:rsidRPr="0053577B">
        <w:rPr>
          <w:sz w:val="24"/>
          <w:szCs w:val="24"/>
          <w:u w:val="single"/>
          <w:lang w:val="en-US"/>
        </w:rPr>
        <w:fldChar w:fldCharType="separate"/>
      </w:r>
      <w:r w:rsidR="00E74E69" w:rsidRPr="0053577B">
        <w:rPr>
          <w:sz w:val="24"/>
          <w:szCs w:val="24"/>
          <w:u w:val="single"/>
          <w:lang w:val="en-US"/>
        </w:rPr>
        <w:t> </w:t>
      </w:r>
      <w:r w:rsidR="00AC1A10" w:rsidRPr="0053577B">
        <w:rPr>
          <w:sz w:val="24"/>
          <w:szCs w:val="24"/>
          <w:u w:val="single"/>
          <w:lang w:val="en-US"/>
        </w:rPr>
        <w:t>Integrative physiology &amp; pathophysiology</w:t>
      </w:r>
      <w:r w:rsidR="00E74E69" w:rsidRPr="0053577B">
        <w:rPr>
          <w:sz w:val="24"/>
          <w:szCs w:val="24"/>
          <w:u w:val="single"/>
          <w:lang w:val="en-US"/>
        </w:rPr>
        <w:t> </w:t>
      </w:r>
      <w:r w:rsidR="00E74E69" w:rsidRPr="0053577B">
        <w:rPr>
          <w:sz w:val="24"/>
          <w:szCs w:val="24"/>
          <w:u w:val="single"/>
          <w:lang w:val="en-US"/>
        </w:rPr>
        <w:t> </w:t>
      </w:r>
      <w:r w:rsidR="00E74E69" w:rsidRPr="0053577B">
        <w:rPr>
          <w:sz w:val="24"/>
          <w:szCs w:val="24"/>
          <w:u w:val="single"/>
          <w:lang w:val="en-US"/>
        </w:rPr>
        <w:t> </w:t>
      </w:r>
      <w:r w:rsidR="00E74E69" w:rsidRPr="0053577B">
        <w:rPr>
          <w:sz w:val="24"/>
          <w:szCs w:val="24"/>
          <w:u w:val="single"/>
          <w:lang w:val="en-US"/>
        </w:rPr>
        <w:t> </w:t>
      </w:r>
      <w:r w:rsidR="005E2D3D" w:rsidRPr="0053577B">
        <w:rPr>
          <w:sz w:val="24"/>
          <w:szCs w:val="24"/>
          <w:u w:val="single"/>
        </w:rPr>
        <w:fldChar w:fldCharType="end"/>
      </w:r>
      <w:bookmarkEnd w:id="4"/>
    </w:p>
    <w:p w14:paraId="6505DE35" w14:textId="4B30CF4D" w:rsidR="00EC7A75" w:rsidRPr="0053577B" w:rsidRDefault="00EC7A75" w:rsidP="0053577B">
      <w:pPr>
        <w:snapToGrid w:val="0"/>
        <w:jc w:val="both"/>
        <w:rPr>
          <w:sz w:val="24"/>
          <w:szCs w:val="24"/>
          <w:lang w:val="en-US"/>
        </w:rPr>
      </w:pPr>
      <w:r w:rsidRPr="0053577B">
        <w:rPr>
          <w:bCs/>
          <w:sz w:val="24"/>
          <w:szCs w:val="24"/>
          <w:lang w:val="en-US"/>
        </w:rPr>
        <w:t>Course Coordinator</w:t>
      </w:r>
      <w:r w:rsidRPr="0053577B">
        <w:rPr>
          <w:sz w:val="24"/>
          <w:szCs w:val="24"/>
          <w:lang w:val="en-US"/>
        </w:rPr>
        <w:t xml:space="preserve"> </w:t>
      </w:r>
      <w:bookmarkStart w:id="5" w:name="Text3"/>
      <w:r w:rsidRPr="0053577B">
        <w:rPr>
          <w:sz w:val="24"/>
          <w:szCs w:val="24"/>
          <w:lang w:val="en-US"/>
        </w:rPr>
        <w:tab/>
      </w:r>
      <w:r w:rsidR="005E2D3D" w:rsidRPr="0053577B">
        <w:rPr>
          <w:sz w:val="24"/>
          <w:szCs w:val="24"/>
          <w:u w:val="single"/>
          <w:lang w:val="en-US"/>
        </w:rPr>
        <w:fldChar w:fldCharType="begin">
          <w:ffData>
            <w:name w:val="Text3"/>
            <w:enabled/>
            <w:calcOnExit w:val="0"/>
            <w:textInput/>
          </w:ffData>
        </w:fldChar>
      </w:r>
      <w:r w:rsidRPr="0053577B">
        <w:rPr>
          <w:sz w:val="24"/>
          <w:szCs w:val="24"/>
          <w:u w:val="single"/>
          <w:lang w:val="en-US"/>
        </w:rPr>
        <w:instrText xml:space="preserve"> FORMTEXT </w:instrText>
      </w:r>
      <w:r w:rsidR="005E2D3D" w:rsidRPr="0053577B">
        <w:rPr>
          <w:sz w:val="24"/>
          <w:szCs w:val="24"/>
          <w:u w:val="single"/>
          <w:lang w:val="en-US"/>
        </w:rPr>
      </w:r>
      <w:r w:rsidR="005E2D3D" w:rsidRPr="0053577B">
        <w:rPr>
          <w:sz w:val="24"/>
          <w:szCs w:val="24"/>
          <w:u w:val="single"/>
          <w:lang w:val="en-US"/>
        </w:rPr>
        <w:fldChar w:fldCharType="separate"/>
      </w:r>
      <w:r w:rsidR="00E74E69" w:rsidRPr="0053577B">
        <w:rPr>
          <w:sz w:val="24"/>
          <w:szCs w:val="24"/>
          <w:u w:val="single"/>
          <w:lang w:val="en-US"/>
        </w:rPr>
        <w:t> </w:t>
      </w:r>
      <w:r w:rsidR="00AC1A10" w:rsidRPr="0053577B">
        <w:rPr>
          <w:sz w:val="24"/>
          <w:szCs w:val="24"/>
          <w:u w:val="single"/>
          <w:lang w:val="en-US"/>
        </w:rPr>
        <w:t>Chen Chen</w:t>
      </w:r>
      <w:r w:rsidR="00E74E69" w:rsidRPr="0053577B">
        <w:rPr>
          <w:sz w:val="24"/>
          <w:szCs w:val="24"/>
          <w:u w:val="single"/>
          <w:lang w:val="en-US"/>
        </w:rPr>
        <w:t> </w:t>
      </w:r>
      <w:r w:rsidR="00E74E69" w:rsidRPr="0053577B">
        <w:rPr>
          <w:sz w:val="24"/>
          <w:szCs w:val="24"/>
          <w:u w:val="single"/>
          <w:lang w:val="en-US"/>
        </w:rPr>
        <w:t> </w:t>
      </w:r>
      <w:r w:rsidR="00E74E69" w:rsidRPr="0053577B">
        <w:rPr>
          <w:sz w:val="24"/>
          <w:szCs w:val="24"/>
          <w:u w:val="single"/>
          <w:lang w:val="en-US"/>
        </w:rPr>
        <w:t> </w:t>
      </w:r>
      <w:r w:rsidR="00E74E69" w:rsidRPr="0053577B">
        <w:rPr>
          <w:sz w:val="24"/>
          <w:szCs w:val="24"/>
          <w:u w:val="single"/>
          <w:lang w:val="en-US"/>
        </w:rPr>
        <w:t> </w:t>
      </w:r>
      <w:r w:rsidR="005E2D3D" w:rsidRPr="0053577B">
        <w:rPr>
          <w:sz w:val="24"/>
          <w:szCs w:val="24"/>
          <w:u w:val="single"/>
        </w:rPr>
        <w:fldChar w:fldCharType="end"/>
      </w:r>
      <w:bookmarkEnd w:id="5"/>
    </w:p>
    <w:p w14:paraId="2D2A90A4" w14:textId="77777777" w:rsidR="00EC7A75" w:rsidRPr="0053577B" w:rsidRDefault="00EC7A75" w:rsidP="0053577B">
      <w:pPr>
        <w:snapToGrid w:val="0"/>
        <w:jc w:val="both"/>
        <w:rPr>
          <w:sz w:val="24"/>
          <w:szCs w:val="24"/>
          <w:lang w:val="en-US"/>
        </w:rPr>
      </w:pPr>
      <w:r w:rsidRPr="0053577B">
        <w:rPr>
          <w:bCs/>
          <w:sz w:val="24"/>
          <w:szCs w:val="24"/>
          <w:lang w:val="en-US"/>
        </w:rPr>
        <w:t>Due Date</w:t>
      </w:r>
      <w:r w:rsidRPr="0053577B">
        <w:rPr>
          <w:sz w:val="24"/>
          <w:szCs w:val="24"/>
          <w:lang w:val="en-US"/>
        </w:rPr>
        <w:t xml:space="preserve">  </w:t>
      </w:r>
      <w:r w:rsidRPr="0053577B">
        <w:rPr>
          <w:sz w:val="24"/>
          <w:szCs w:val="24"/>
          <w:lang w:val="en-US"/>
        </w:rPr>
        <w:tab/>
      </w:r>
      <w:r w:rsidRPr="0053577B">
        <w:rPr>
          <w:sz w:val="24"/>
          <w:szCs w:val="24"/>
          <w:lang w:val="en-US"/>
        </w:rPr>
        <w:tab/>
      </w:r>
      <w:r w:rsidR="00F05650" w:rsidRPr="0053577B">
        <w:rPr>
          <w:sz w:val="24"/>
          <w:szCs w:val="24"/>
          <w:lang w:val="en-US"/>
        </w:rPr>
        <w:tab/>
      </w:r>
      <w:r w:rsidR="005E2D3D" w:rsidRPr="0053577B">
        <w:rPr>
          <w:sz w:val="24"/>
          <w:szCs w:val="24"/>
          <w:u w:val="single"/>
          <w:lang w:val="en-US"/>
        </w:rPr>
        <w:fldChar w:fldCharType="begin">
          <w:ffData>
            <w:name w:val="Text4"/>
            <w:enabled/>
            <w:calcOnExit w:val="0"/>
            <w:textInput/>
          </w:ffData>
        </w:fldChar>
      </w:r>
      <w:bookmarkStart w:id="6" w:name="Text4"/>
      <w:r w:rsidRPr="0053577B">
        <w:rPr>
          <w:sz w:val="24"/>
          <w:szCs w:val="24"/>
          <w:u w:val="single"/>
          <w:lang w:val="en-US"/>
        </w:rPr>
        <w:instrText xml:space="preserve"> FORMTEXT </w:instrText>
      </w:r>
      <w:r w:rsidR="005E2D3D" w:rsidRPr="0053577B">
        <w:rPr>
          <w:sz w:val="24"/>
          <w:szCs w:val="24"/>
          <w:u w:val="single"/>
          <w:lang w:val="en-US"/>
        </w:rPr>
      </w:r>
      <w:r w:rsidR="005E2D3D" w:rsidRPr="0053577B">
        <w:rPr>
          <w:sz w:val="24"/>
          <w:szCs w:val="24"/>
          <w:u w:val="single"/>
          <w:lang w:val="en-US"/>
        </w:rPr>
        <w:fldChar w:fldCharType="separate"/>
      </w:r>
      <w:r w:rsidR="00E74E69" w:rsidRPr="0053577B">
        <w:rPr>
          <w:sz w:val="24"/>
          <w:szCs w:val="24"/>
          <w:u w:val="single"/>
          <w:lang w:val="en-US"/>
        </w:rPr>
        <w:t> </w:t>
      </w:r>
      <w:r w:rsidR="00AC1A10" w:rsidRPr="0053577B">
        <w:rPr>
          <w:sz w:val="24"/>
          <w:szCs w:val="24"/>
          <w:u w:val="single"/>
          <w:lang w:val="en-US"/>
        </w:rPr>
        <w:t>23/09/2014</w:t>
      </w:r>
      <w:r w:rsidR="00E74E69" w:rsidRPr="0053577B">
        <w:rPr>
          <w:sz w:val="24"/>
          <w:szCs w:val="24"/>
          <w:u w:val="single"/>
          <w:lang w:val="en-US"/>
        </w:rPr>
        <w:t> </w:t>
      </w:r>
      <w:r w:rsidR="00E74E69" w:rsidRPr="0053577B">
        <w:rPr>
          <w:sz w:val="24"/>
          <w:szCs w:val="24"/>
          <w:u w:val="single"/>
          <w:lang w:val="en-US"/>
        </w:rPr>
        <w:t> </w:t>
      </w:r>
      <w:r w:rsidR="00E74E69" w:rsidRPr="0053577B">
        <w:rPr>
          <w:sz w:val="24"/>
          <w:szCs w:val="24"/>
          <w:u w:val="single"/>
          <w:lang w:val="en-US"/>
        </w:rPr>
        <w:t> </w:t>
      </w:r>
      <w:r w:rsidR="00E74E69" w:rsidRPr="0053577B">
        <w:rPr>
          <w:sz w:val="24"/>
          <w:szCs w:val="24"/>
          <w:u w:val="single"/>
          <w:lang w:val="en-US"/>
        </w:rPr>
        <w:t> </w:t>
      </w:r>
      <w:r w:rsidR="005E2D3D" w:rsidRPr="0053577B">
        <w:rPr>
          <w:sz w:val="24"/>
          <w:szCs w:val="24"/>
          <w:u w:val="single"/>
        </w:rPr>
        <w:fldChar w:fldCharType="end"/>
      </w:r>
      <w:bookmarkEnd w:id="6"/>
    </w:p>
    <w:p w14:paraId="54FBA0F2" w14:textId="77777777" w:rsidR="00EC7A75" w:rsidRPr="0053577B" w:rsidRDefault="00EC7A75" w:rsidP="0053577B">
      <w:pPr>
        <w:snapToGrid w:val="0"/>
        <w:jc w:val="both"/>
        <w:rPr>
          <w:sz w:val="24"/>
          <w:szCs w:val="24"/>
          <w:lang w:val="en-US"/>
        </w:rPr>
      </w:pPr>
      <w:r w:rsidRPr="0053577B">
        <w:rPr>
          <w:bCs/>
          <w:sz w:val="24"/>
          <w:szCs w:val="24"/>
          <w:lang w:val="en-US"/>
        </w:rPr>
        <w:t>Assignment Title</w:t>
      </w:r>
      <w:r w:rsidRPr="0053577B">
        <w:rPr>
          <w:bCs/>
          <w:sz w:val="24"/>
          <w:szCs w:val="24"/>
          <w:lang w:val="en-US"/>
        </w:rPr>
        <w:tab/>
      </w:r>
      <w:bookmarkStart w:id="7" w:name="Text5"/>
      <w:r w:rsidR="00F05650" w:rsidRPr="0053577B">
        <w:rPr>
          <w:bCs/>
          <w:sz w:val="24"/>
          <w:szCs w:val="24"/>
          <w:lang w:val="en-US"/>
        </w:rPr>
        <w:tab/>
      </w:r>
      <w:r w:rsidR="005E2D3D" w:rsidRPr="0053577B">
        <w:rPr>
          <w:sz w:val="24"/>
          <w:szCs w:val="24"/>
          <w:u w:val="single"/>
          <w:lang w:val="en-US"/>
        </w:rPr>
        <w:fldChar w:fldCharType="begin">
          <w:ffData>
            <w:name w:val="Text5"/>
            <w:enabled/>
            <w:calcOnExit w:val="0"/>
            <w:textInput/>
          </w:ffData>
        </w:fldChar>
      </w:r>
      <w:r w:rsidRPr="0053577B">
        <w:rPr>
          <w:sz w:val="24"/>
          <w:szCs w:val="24"/>
          <w:u w:val="single"/>
          <w:lang w:val="en-US"/>
        </w:rPr>
        <w:instrText xml:space="preserve"> FORMTEXT </w:instrText>
      </w:r>
      <w:r w:rsidR="005E2D3D" w:rsidRPr="0053577B">
        <w:rPr>
          <w:sz w:val="24"/>
          <w:szCs w:val="24"/>
          <w:u w:val="single"/>
          <w:lang w:val="en-US"/>
        </w:rPr>
      </w:r>
      <w:r w:rsidR="005E2D3D" w:rsidRPr="0053577B">
        <w:rPr>
          <w:sz w:val="24"/>
          <w:szCs w:val="24"/>
          <w:u w:val="single"/>
          <w:lang w:val="en-US"/>
        </w:rPr>
        <w:fldChar w:fldCharType="separate"/>
      </w:r>
      <w:r w:rsidR="00E74E69" w:rsidRPr="0053577B">
        <w:rPr>
          <w:sz w:val="24"/>
          <w:szCs w:val="24"/>
          <w:u w:val="single"/>
          <w:lang w:val="en-US"/>
        </w:rPr>
        <w:t> </w:t>
      </w:r>
      <w:r w:rsidR="00AC1A10" w:rsidRPr="0053577B">
        <w:rPr>
          <w:sz w:val="24"/>
          <w:szCs w:val="24"/>
          <w:u w:val="single"/>
          <w:lang w:val="en-US"/>
        </w:rPr>
        <w:t>Module 2 rat</w:t>
      </w:r>
      <w:r w:rsidR="00E74E69" w:rsidRPr="0053577B">
        <w:rPr>
          <w:sz w:val="24"/>
          <w:szCs w:val="24"/>
          <w:u w:val="single"/>
          <w:lang w:val="en-US"/>
        </w:rPr>
        <w:t> </w:t>
      </w:r>
      <w:r w:rsidR="00E74E69" w:rsidRPr="0053577B">
        <w:rPr>
          <w:sz w:val="24"/>
          <w:szCs w:val="24"/>
          <w:u w:val="single"/>
          <w:lang w:val="en-US"/>
        </w:rPr>
        <w:t> </w:t>
      </w:r>
      <w:r w:rsidR="00E74E69" w:rsidRPr="0053577B">
        <w:rPr>
          <w:sz w:val="24"/>
          <w:szCs w:val="24"/>
          <w:u w:val="single"/>
          <w:lang w:val="en-US"/>
        </w:rPr>
        <w:t> </w:t>
      </w:r>
      <w:r w:rsidR="00E74E69" w:rsidRPr="0053577B">
        <w:rPr>
          <w:sz w:val="24"/>
          <w:szCs w:val="24"/>
          <w:u w:val="single"/>
          <w:lang w:val="en-US"/>
        </w:rPr>
        <w:t> </w:t>
      </w:r>
      <w:r w:rsidR="005E2D3D" w:rsidRPr="0053577B">
        <w:rPr>
          <w:sz w:val="24"/>
          <w:szCs w:val="24"/>
          <w:u w:val="single"/>
        </w:rPr>
        <w:fldChar w:fldCharType="end"/>
      </w:r>
      <w:bookmarkEnd w:id="7"/>
    </w:p>
    <w:p w14:paraId="545A34B0" w14:textId="2A8D9B75" w:rsidR="00EC7A75" w:rsidRPr="0053577B" w:rsidRDefault="00EC7A75" w:rsidP="0053577B">
      <w:pPr>
        <w:snapToGrid w:val="0"/>
        <w:jc w:val="both"/>
        <w:rPr>
          <w:sz w:val="24"/>
          <w:szCs w:val="24"/>
          <w:lang w:val="en-US"/>
        </w:rPr>
      </w:pPr>
      <w:r w:rsidRPr="0053577B">
        <w:rPr>
          <w:bCs/>
          <w:sz w:val="24"/>
          <w:szCs w:val="24"/>
          <w:lang w:val="en-US"/>
        </w:rPr>
        <w:t>Word Count</w:t>
      </w:r>
      <w:r w:rsidRPr="0053577B">
        <w:rPr>
          <w:b/>
          <w:sz w:val="24"/>
          <w:szCs w:val="24"/>
          <w:lang w:val="en-US"/>
        </w:rPr>
        <w:t xml:space="preserve">  </w:t>
      </w:r>
      <w:bookmarkStart w:id="8" w:name="Text6"/>
      <w:r w:rsidRPr="0053577B">
        <w:rPr>
          <w:b/>
          <w:sz w:val="24"/>
          <w:szCs w:val="24"/>
          <w:lang w:val="en-US"/>
        </w:rPr>
        <w:tab/>
      </w:r>
      <w:r w:rsidR="00F05650" w:rsidRPr="0053577B">
        <w:rPr>
          <w:b/>
          <w:sz w:val="24"/>
          <w:szCs w:val="24"/>
          <w:lang w:val="en-US"/>
        </w:rPr>
        <w:tab/>
      </w:r>
      <w:r w:rsidR="005E2D3D" w:rsidRPr="0053577B">
        <w:rPr>
          <w:sz w:val="24"/>
          <w:szCs w:val="24"/>
          <w:u w:val="single"/>
          <w:lang w:val="en-US"/>
        </w:rPr>
        <w:fldChar w:fldCharType="begin">
          <w:ffData>
            <w:name w:val="Text6"/>
            <w:enabled/>
            <w:calcOnExit w:val="0"/>
            <w:textInput/>
          </w:ffData>
        </w:fldChar>
      </w:r>
      <w:r w:rsidRPr="0053577B">
        <w:rPr>
          <w:sz w:val="24"/>
          <w:szCs w:val="24"/>
          <w:u w:val="single"/>
          <w:lang w:val="en-US"/>
        </w:rPr>
        <w:instrText xml:space="preserve"> FORMTEXT </w:instrText>
      </w:r>
      <w:r w:rsidR="005E2D3D" w:rsidRPr="0053577B">
        <w:rPr>
          <w:sz w:val="24"/>
          <w:szCs w:val="24"/>
          <w:u w:val="single"/>
          <w:lang w:val="en-US"/>
        </w:rPr>
      </w:r>
      <w:r w:rsidR="005E2D3D" w:rsidRPr="0053577B">
        <w:rPr>
          <w:sz w:val="24"/>
          <w:szCs w:val="24"/>
          <w:u w:val="single"/>
          <w:lang w:val="en-US"/>
        </w:rPr>
        <w:fldChar w:fldCharType="separate"/>
      </w:r>
      <w:r w:rsidR="00E74E69" w:rsidRPr="0053577B">
        <w:rPr>
          <w:sz w:val="24"/>
          <w:szCs w:val="24"/>
          <w:u w:val="single"/>
          <w:lang w:val="en-US"/>
        </w:rPr>
        <w:t> </w:t>
      </w:r>
      <w:r w:rsidR="00392432" w:rsidRPr="0053577B">
        <w:rPr>
          <w:sz w:val="24"/>
          <w:szCs w:val="24"/>
          <w:u w:val="single"/>
          <w:lang w:val="en-US" w:eastAsia="zh-CN"/>
        </w:rPr>
        <w:t>1624</w:t>
      </w:r>
      <w:r w:rsidR="00E74E69" w:rsidRPr="0053577B">
        <w:rPr>
          <w:sz w:val="24"/>
          <w:szCs w:val="24"/>
          <w:u w:val="single"/>
          <w:lang w:val="en-US"/>
        </w:rPr>
        <w:t> </w:t>
      </w:r>
      <w:r w:rsidR="00E74E69" w:rsidRPr="0053577B">
        <w:rPr>
          <w:sz w:val="24"/>
          <w:szCs w:val="24"/>
          <w:u w:val="single"/>
          <w:lang w:val="en-US"/>
        </w:rPr>
        <w:t> </w:t>
      </w:r>
      <w:r w:rsidR="00E74E69" w:rsidRPr="0053577B">
        <w:rPr>
          <w:sz w:val="24"/>
          <w:szCs w:val="24"/>
          <w:u w:val="single"/>
          <w:lang w:val="en-US"/>
        </w:rPr>
        <w:t> </w:t>
      </w:r>
      <w:r w:rsidR="00E74E69" w:rsidRPr="0053577B">
        <w:rPr>
          <w:sz w:val="24"/>
          <w:szCs w:val="24"/>
          <w:u w:val="single"/>
          <w:lang w:val="en-US"/>
        </w:rPr>
        <w:t> </w:t>
      </w:r>
      <w:r w:rsidR="005E2D3D" w:rsidRPr="0053577B">
        <w:rPr>
          <w:sz w:val="24"/>
          <w:szCs w:val="24"/>
          <w:u w:val="single"/>
        </w:rPr>
        <w:fldChar w:fldCharType="end"/>
      </w:r>
      <w:bookmarkEnd w:id="8"/>
    </w:p>
    <w:p w14:paraId="23A41670" w14:textId="77777777" w:rsidR="00EC7A75" w:rsidRPr="0053577B" w:rsidRDefault="00EC7A75" w:rsidP="0053577B">
      <w:pPr>
        <w:snapToGrid w:val="0"/>
        <w:jc w:val="both"/>
        <w:rPr>
          <w:sz w:val="24"/>
          <w:szCs w:val="24"/>
          <w:lang w:val="en-US"/>
        </w:rPr>
      </w:pPr>
      <w:r w:rsidRPr="0053577B">
        <w:rPr>
          <w:bCs/>
          <w:sz w:val="24"/>
          <w:szCs w:val="24"/>
          <w:lang w:val="en-US"/>
        </w:rPr>
        <w:t>Date Submitted</w:t>
      </w:r>
      <w:bookmarkStart w:id="9" w:name="Text7"/>
      <w:r w:rsidRPr="0053577B">
        <w:rPr>
          <w:bCs/>
          <w:sz w:val="24"/>
          <w:szCs w:val="24"/>
          <w:lang w:val="en-US"/>
        </w:rPr>
        <w:tab/>
      </w:r>
      <w:r w:rsidR="00F05650" w:rsidRPr="0053577B">
        <w:rPr>
          <w:bCs/>
          <w:sz w:val="24"/>
          <w:szCs w:val="24"/>
          <w:lang w:val="en-US"/>
        </w:rPr>
        <w:tab/>
      </w:r>
      <w:r w:rsidR="005E2D3D" w:rsidRPr="0053577B">
        <w:rPr>
          <w:sz w:val="24"/>
          <w:szCs w:val="24"/>
          <w:u w:val="single"/>
          <w:lang w:val="en-US"/>
        </w:rPr>
        <w:fldChar w:fldCharType="begin">
          <w:ffData>
            <w:name w:val="Text7"/>
            <w:enabled/>
            <w:calcOnExit w:val="0"/>
            <w:textInput/>
          </w:ffData>
        </w:fldChar>
      </w:r>
      <w:r w:rsidRPr="0053577B">
        <w:rPr>
          <w:sz w:val="24"/>
          <w:szCs w:val="24"/>
          <w:u w:val="single"/>
          <w:lang w:val="en-US"/>
        </w:rPr>
        <w:instrText xml:space="preserve"> FORMTEXT </w:instrText>
      </w:r>
      <w:r w:rsidR="005E2D3D" w:rsidRPr="0053577B">
        <w:rPr>
          <w:sz w:val="24"/>
          <w:szCs w:val="24"/>
          <w:u w:val="single"/>
          <w:lang w:val="en-US"/>
        </w:rPr>
      </w:r>
      <w:r w:rsidR="005E2D3D" w:rsidRPr="0053577B">
        <w:rPr>
          <w:sz w:val="24"/>
          <w:szCs w:val="24"/>
          <w:u w:val="single"/>
          <w:lang w:val="en-US"/>
        </w:rPr>
        <w:fldChar w:fldCharType="separate"/>
      </w:r>
      <w:r w:rsidR="00E74E69" w:rsidRPr="0053577B">
        <w:rPr>
          <w:sz w:val="24"/>
          <w:szCs w:val="24"/>
          <w:u w:val="single"/>
          <w:lang w:val="en-US"/>
        </w:rPr>
        <w:t> </w:t>
      </w:r>
      <w:r w:rsidR="00AC1A10" w:rsidRPr="0053577B">
        <w:rPr>
          <w:sz w:val="24"/>
          <w:szCs w:val="24"/>
          <w:u w:val="single"/>
          <w:lang w:val="en-US"/>
        </w:rPr>
        <w:t>23/09/2014</w:t>
      </w:r>
      <w:r w:rsidR="00E74E69" w:rsidRPr="0053577B">
        <w:rPr>
          <w:sz w:val="24"/>
          <w:szCs w:val="24"/>
          <w:u w:val="single"/>
          <w:lang w:val="en-US"/>
        </w:rPr>
        <w:t> </w:t>
      </w:r>
      <w:r w:rsidR="00E74E69" w:rsidRPr="0053577B">
        <w:rPr>
          <w:sz w:val="24"/>
          <w:szCs w:val="24"/>
          <w:u w:val="single"/>
          <w:lang w:val="en-US"/>
        </w:rPr>
        <w:t> </w:t>
      </w:r>
      <w:r w:rsidR="00E74E69" w:rsidRPr="0053577B">
        <w:rPr>
          <w:sz w:val="24"/>
          <w:szCs w:val="24"/>
          <w:u w:val="single"/>
          <w:lang w:val="en-US"/>
        </w:rPr>
        <w:t> </w:t>
      </w:r>
      <w:r w:rsidR="00E74E69" w:rsidRPr="0053577B">
        <w:rPr>
          <w:sz w:val="24"/>
          <w:szCs w:val="24"/>
          <w:u w:val="single"/>
          <w:lang w:val="en-US"/>
        </w:rPr>
        <w:t> </w:t>
      </w:r>
      <w:r w:rsidR="005E2D3D" w:rsidRPr="0053577B">
        <w:rPr>
          <w:sz w:val="24"/>
          <w:szCs w:val="24"/>
          <w:u w:val="single"/>
        </w:rPr>
        <w:fldChar w:fldCharType="end"/>
      </w:r>
      <w:bookmarkEnd w:id="9"/>
    </w:p>
    <w:p w14:paraId="68FD79A3" w14:textId="77777777" w:rsidR="00EC7A75" w:rsidRPr="0053577B" w:rsidRDefault="00EC7A75" w:rsidP="0053577B">
      <w:pPr>
        <w:snapToGrid w:val="0"/>
        <w:jc w:val="both"/>
        <w:rPr>
          <w:b/>
          <w:bCs/>
          <w:sz w:val="24"/>
          <w:szCs w:val="24"/>
          <w:lang w:val="en-US"/>
        </w:rPr>
      </w:pPr>
    </w:p>
    <w:p w14:paraId="5F304FD5" w14:textId="77777777" w:rsidR="00EC7A75" w:rsidRPr="0053577B" w:rsidRDefault="00EC7A75" w:rsidP="0053577B">
      <w:pPr>
        <w:snapToGrid w:val="0"/>
        <w:jc w:val="both"/>
        <w:rPr>
          <w:sz w:val="24"/>
          <w:szCs w:val="24"/>
          <w:lang w:val="en-US"/>
        </w:rPr>
      </w:pPr>
      <w:r w:rsidRPr="0053577B">
        <w:rPr>
          <w:b/>
          <w:bCs/>
          <w:sz w:val="24"/>
          <w:szCs w:val="24"/>
          <w:lang w:val="en-US"/>
        </w:rPr>
        <w:t xml:space="preserve">Extension applied for   Yes </w:t>
      </w:r>
      <w:r w:rsidR="005E2D3D" w:rsidRPr="0053577B">
        <w:rPr>
          <w:b/>
          <w:bCs/>
          <w:sz w:val="24"/>
          <w:szCs w:val="24"/>
          <w:lang w:val="en-US"/>
        </w:rPr>
        <w:fldChar w:fldCharType="begin">
          <w:ffData>
            <w:name w:val="Check1"/>
            <w:enabled/>
            <w:calcOnExit w:val="0"/>
            <w:checkBox>
              <w:sizeAuto/>
              <w:default w:val="0"/>
              <w:checked w:val="0"/>
            </w:checkBox>
          </w:ffData>
        </w:fldChar>
      </w:r>
      <w:bookmarkStart w:id="10" w:name="Check1"/>
      <w:r w:rsidRPr="0053577B">
        <w:rPr>
          <w:b/>
          <w:bCs/>
          <w:sz w:val="24"/>
          <w:szCs w:val="24"/>
          <w:lang w:val="en-US"/>
        </w:rPr>
        <w:instrText xml:space="preserve"> FORMCHECKBOX </w:instrText>
      </w:r>
      <w:r w:rsidR="005E2D3D" w:rsidRPr="0053577B">
        <w:rPr>
          <w:sz w:val="24"/>
          <w:szCs w:val="24"/>
        </w:rPr>
      </w:r>
      <w:r w:rsidR="005E2D3D" w:rsidRPr="0053577B">
        <w:rPr>
          <w:sz w:val="24"/>
          <w:szCs w:val="24"/>
        </w:rPr>
        <w:fldChar w:fldCharType="end"/>
      </w:r>
      <w:bookmarkEnd w:id="10"/>
      <w:r w:rsidRPr="0053577B">
        <w:rPr>
          <w:b/>
          <w:bCs/>
          <w:sz w:val="24"/>
          <w:szCs w:val="24"/>
          <w:lang w:val="en-US"/>
        </w:rPr>
        <w:t xml:space="preserve">  / No</w:t>
      </w:r>
      <w:r w:rsidRPr="0053577B">
        <w:rPr>
          <w:sz w:val="24"/>
          <w:szCs w:val="24"/>
          <w:lang w:val="en-US"/>
        </w:rPr>
        <w:t xml:space="preserve"> </w:t>
      </w:r>
      <w:r w:rsidR="005E2D3D" w:rsidRPr="0053577B">
        <w:rPr>
          <w:sz w:val="24"/>
          <w:szCs w:val="24"/>
          <w:highlight w:val="yellow"/>
          <w:lang w:val="en-US"/>
        </w:rPr>
        <w:fldChar w:fldCharType="begin">
          <w:ffData>
            <w:name w:val="Check2"/>
            <w:enabled/>
            <w:calcOnExit w:val="0"/>
            <w:checkBox>
              <w:sizeAuto/>
              <w:default w:val="0"/>
              <w:checked w:val="0"/>
            </w:checkBox>
          </w:ffData>
        </w:fldChar>
      </w:r>
      <w:bookmarkStart w:id="11" w:name="Check2"/>
      <w:r w:rsidRPr="0053577B">
        <w:rPr>
          <w:sz w:val="24"/>
          <w:szCs w:val="24"/>
          <w:highlight w:val="yellow"/>
          <w:lang w:val="en-US"/>
        </w:rPr>
        <w:instrText xml:space="preserve"> FORMCHECKBOX </w:instrText>
      </w:r>
      <w:r w:rsidR="005E2D3D" w:rsidRPr="0053577B">
        <w:rPr>
          <w:sz w:val="24"/>
          <w:szCs w:val="24"/>
          <w:highlight w:val="yellow"/>
        </w:rPr>
      </w:r>
      <w:r w:rsidR="005E2D3D" w:rsidRPr="0053577B">
        <w:rPr>
          <w:sz w:val="24"/>
          <w:szCs w:val="24"/>
          <w:highlight w:val="yellow"/>
        </w:rPr>
        <w:fldChar w:fldCharType="end"/>
      </w:r>
      <w:bookmarkEnd w:id="11"/>
      <w:r w:rsidRPr="0053577B">
        <w:rPr>
          <w:sz w:val="24"/>
          <w:szCs w:val="24"/>
          <w:lang w:val="en-US"/>
        </w:rPr>
        <w:tab/>
      </w:r>
      <w:r w:rsidRPr="0053577B">
        <w:rPr>
          <w:b/>
          <w:bCs/>
          <w:sz w:val="24"/>
          <w:szCs w:val="24"/>
          <w:lang w:val="en-US"/>
        </w:rPr>
        <w:t xml:space="preserve">Revised Date </w:t>
      </w:r>
      <w:r w:rsidR="005E2D3D" w:rsidRPr="0053577B">
        <w:rPr>
          <w:b/>
          <w:bCs/>
          <w:sz w:val="24"/>
          <w:szCs w:val="24"/>
          <w:u w:val="single"/>
          <w:lang w:val="en-US"/>
        </w:rPr>
        <w:fldChar w:fldCharType="begin">
          <w:ffData>
            <w:name w:val="Text8"/>
            <w:enabled/>
            <w:calcOnExit w:val="0"/>
            <w:textInput/>
          </w:ffData>
        </w:fldChar>
      </w:r>
      <w:bookmarkStart w:id="12" w:name="Text8"/>
      <w:r w:rsidRPr="0053577B">
        <w:rPr>
          <w:b/>
          <w:bCs/>
          <w:sz w:val="24"/>
          <w:szCs w:val="24"/>
          <w:u w:val="single"/>
          <w:lang w:val="en-US"/>
        </w:rPr>
        <w:instrText xml:space="preserve"> FORMTEXT </w:instrText>
      </w:r>
      <w:r w:rsidR="005E2D3D" w:rsidRPr="0053577B">
        <w:rPr>
          <w:b/>
          <w:bCs/>
          <w:sz w:val="24"/>
          <w:szCs w:val="24"/>
          <w:u w:val="single"/>
          <w:lang w:val="en-US"/>
        </w:rPr>
      </w:r>
      <w:r w:rsidR="005E2D3D" w:rsidRPr="0053577B">
        <w:rPr>
          <w:b/>
          <w:bCs/>
          <w:sz w:val="24"/>
          <w:szCs w:val="24"/>
          <w:u w:val="single"/>
          <w:lang w:val="en-US"/>
        </w:rPr>
        <w:fldChar w:fldCharType="separate"/>
      </w:r>
      <w:r w:rsidR="00E74E69" w:rsidRPr="0053577B">
        <w:rPr>
          <w:b/>
          <w:bCs/>
          <w:sz w:val="24"/>
          <w:szCs w:val="24"/>
          <w:u w:val="single"/>
          <w:lang w:val="en-US"/>
        </w:rPr>
        <w:t> </w:t>
      </w:r>
      <w:r w:rsidR="00E74E69" w:rsidRPr="0053577B">
        <w:rPr>
          <w:b/>
          <w:bCs/>
          <w:sz w:val="24"/>
          <w:szCs w:val="24"/>
          <w:u w:val="single"/>
          <w:lang w:val="en-US"/>
        </w:rPr>
        <w:t> </w:t>
      </w:r>
      <w:r w:rsidR="00E74E69" w:rsidRPr="0053577B">
        <w:rPr>
          <w:b/>
          <w:bCs/>
          <w:sz w:val="24"/>
          <w:szCs w:val="24"/>
          <w:u w:val="single"/>
          <w:lang w:val="en-US"/>
        </w:rPr>
        <w:t> </w:t>
      </w:r>
      <w:r w:rsidR="00E74E69" w:rsidRPr="0053577B">
        <w:rPr>
          <w:b/>
          <w:bCs/>
          <w:sz w:val="24"/>
          <w:szCs w:val="24"/>
          <w:u w:val="single"/>
          <w:lang w:val="en-US"/>
        </w:rPr>
        <w:t> </w:t>
      </w:r>
      <w:r w:rsidR="00E74E69" w:rsidRPr="0053577B">
        <w:rPr>
          <w:b/>
          <w:bCs/>
          <w:sz w:val="24"/>
          <w:szCs w:val="24"/>
          <w:u w:val="single"/>
          <w:lang w:val="en-US"/>
        </w:rPr>
        <w:t> </w:t>
      </w:r>
      <w:r w:rsidR="005E2D3D" w:rsidRPr="0053577B">
        <w:rPr>
          <w:sz w:val="24"/>
          <w:szCs w:val="24"/>
          <w:u w:val="single"/>
        </w:rPr>
        <w:fldChar w:fldCharType="end"/>
      </w:r>
      <w:bookmarkEnd w:id="12"/>
    </w:p>
    <w:bookmarkEnd w:id="0"/>
    <w:bookmarkEnd w:id="1"/>
    <w:bookmarkEnd w:id="2"/>
    <w:p w14:paraId="5B73949D" w14:textId="175587C5" w:rsidR="00EC7A75" w:rsidRPr="0053577B" w:rsidRDefault="00EC7A75" w:rsidP="0053577B">
      <w:pPr>
        <w:snapToGrid w:val="0"/>
        <w:jc w:val="both"/>
        <w:rPr>
          <w:b/>
          <w:bCs/>
          <w:sz w:val="24"/>
          <w:szCs w:val="24"/>
          <w:lang w:val="en-US"/>
        </w:rPr>
      </w:pPr>
    </w:p>
    <w:tbl>
      <w:tblPr>
        <w:tblStyle w:val="a6"/>
        <w:tblW w:w="9006" w:type="dxa"/>
        <w:tblLook w:val="04A0" w:firstRow="1" w:lastRow="0" w:firstColumn="1" w:lastColumn="0" w:noHBand="0" w:noVBand="1"/>
      </w:tblPr>
      <w:tblGrid>
        <w:gridCol w:w="3002"/>
        <w:gridCol w:w="3002"/>
        <w:gridCol w:w="3002"/>
      </w:tblGrid>
      <w:tr w:rsidR="00C10277" w:rsidRPr="0053577B" w14:paraId="7216D557" w14:textId="77777777" w:rsidTr="00C10277">
        <w:trPr>
          <w:trHeight w:val="579"/>
        </w:trPr>
        <w:tc>
          <w:tcPr>
            <w:tcW w:w="3002" w:type="dxa"/>
          </w:tcPr>
          <w:p w14:paraId="7C193CFF" w14:textId="77777777" w:rsidR="00C10277" w:rsidRPr="0053577B" w:rsidRDefault="00C10277" w:rsidP="0053577B">
            <w:pPr>
              <w:snapToGrid w:val="0"/>
              <w:spacing w:line="276" w:lineRule="auto"/>
              <w:jc w:val="both"/>
              <w:rPr>
                <w:b/>
                <w:sz w:val="24"/>
                <w:szCs w:val="24"/>
              </w:rPr>
            </w:pPr>
            <w:r w:rsidRPr="0053577B">
              <w:rPr>
                <w:b/>
                <w:sz w:val="24"/>
                <w:szCs w:val="24"/>
              </w:rPr>
              <w:t>Student Number</w:t>
            </w:r>
          </w:p>
        </w:tc>
        <w:tc>
          <w:tcPr>
            <w:tcW w:w="3002" w:type="dxa"/>
          </w:tcPr>
          <w:p w14:paraId="6F460D67" w14:textId="77777777" w:rsidR="00C10277" w:rsidRPr="0053577B" w:rsidRDefault="00C10277" w:rsidP="0053577B">
            <w:pPr>
              <w:snapToGrid w:val="0"/>
              <w:spacing w:line="276" w:lineRule="auto"/>
              <w:jc w:val="both"/>
              <w:rPr>
                <w:b/>
                <w:sz w:val="24"/>
                <w:szCs w:val="24"/>
              </w:rPr>
            </w:pPr>
            <w:r w:rsidRPr="0053577B">
              <w:rPr>
                <w:b/>
                <w:sz w:val="24"/>
                <w:szCs w:val="24"/>
              </w:rPr>
              <w:t>Surname</w:t>
            </w:r>
          </w:p>
        </w:tc>
        <w:tc>
          <w:tcPr>
            <w:tcW w:w="3002" w:type="dxa"/>
          </w:tcPr>
          <w:p w14:paraId="6D7D118A" w14:textId="77777777" w:rsidR="00C10277" w:rsidRPr="0053577B" w:rsidRDefault="00C10277" w:rsidP="0053577B">
            <w:pPr>
              <w:snapToGrid w:val="0"/>
              <w:spacing w:line="276" w:lineRule="auto"/>
              <w:jc w:val="both"/>
              <w:rPr>
                <w:b/>
                <w:sz w:val="24"/>
                <w:szCs w:val="24"/>
              </w:rPr>
            </w:pPr>
            <w:r w:rsidRPr="0053577B">
              <w:rPr>
                <w:b/>
                <w:sz w:val="24"/>
                <w:szCs w:val="24"/>
              </w:rPr>
              <w:t>First Name</w:t>
            </w:r>
          </w:p>
        </w:tc>
      </w:tr>
      <w:tr w:rsidR="00C10277" w:rsidRPr="0053577B" w14:paraId="7C4F465A" w14:textId="77777777" w:rsidTr="00C10277">
        <w:trPr>
          <w:trHeight w:val="474"/>
        </w:trPr>
        <w:tc>
          <w:tcPr>
            <w:tcW w:w="3002" w:type="dxa"/>
            <w:vAlign w:val="center"/>
          </w:tcPr>
          <w:p w14:paraId="71034E55" w14:textId="77777777" w:rsidR="00C10277" w:rsidRPr="0053577B" w:rsidRDefault="005E2D3D" w:rsidP="0053577B">
            <w:pPr>
              <w:snapToGrid w:val="0"/>
              <w:spacing w:line="276" w:lineRule="auto"/>
              <w:jc w:val="both"/>
              <w:rPr>
                <w:sz w:val="24"/>
                <w:szCs w:val="24"/>
              </w:rPr>
            </w:pPr>
            <w:r w:rsidRPr="0053577B">
              <w:rPr>
                <w:sz w:val="24"/>
                <w:szCs w:val="24"/>
              </w:rPr>
              <w:fldChar w:fldCharType="begin">
                <w:ffData>
                  <w:name w:val="Text9"/>
                  <w:enabled/>
                  <w:calcOnExit w:val="0"/>
                  <w:textInput/>
                </w:ffData>
              </w:fldChar>
            </w:r>
            <w:bookmarkStart w:id="13" w:name="Text9"/>
            <w:r w:rsidR="00C10277" w:rsidRPr="0053577B">
              <w:rPr>
                <w:sz w:val="24"/>
                <w:szCs w:val="24"/>
              </w:rPr>
              <w:instrText xml:space="preserve"> FORMTEXT </w:instrText>
            </w:r>
            <w:r w:rsidRPr="0053577B">
              <w:rPr>
                <w:sz w:val="24"/>
                <w:szCs w:val="24"/>
              </w:rPr>
            </w:r>
            <w:r w:rsidRPr="0053577B">
              <w:rPr>
                <w:sz w:val="24"/>
                <w:szCs w:val="24"/>
              </w:rPr>
              <w:fldChar w:fldCharType="separate"/>
            </w:r>
            <w:r w:rsidR="00C10277" w:rsidRPr="0053577B">
              <w:rPr>
                <w:noProof/>
                <w:sz w:val="24"/>
                <w:szCs w:val="24"/>
              </w:rPr>
              <w:t> </w:t>
            </w:r>
            <w:r w:rsidR="00AC1A10" w:rsidRPr="0053577B">
              <w:rPr>
                <w:noProof/>
                <w:sz w:val="24"/>
                <w:szCs w:val="24"/>
              </w:rPr>
              <w:t>42835341</w:t>
            </w:r>
            <w:r w:rsidR="00C10277" w:rsidRPr="0053577B">
              <w:rPr>
                <w:noProof/>
                <w:sz w:val="24"/>
                <w:szCs w:val="24"/>
              </w:rPr>
              <w:t> </w:t>
            </w:r>
            <w:r w:rsidR="00C10277" w:rsidRPr="0053577B">
              <w:rPr>
                <w:noProof/>
                <w:sz w:val="24"/>
                <w:szCs w:val="24"/>
              </w:rPr>
              <w:t> </w:t>
            </w:r>
            <w:r w:rsidR="00C10277" w:rsidRPr="0053577B">
              <w:rPr>
                <w:noProof/>
                <w:sz w:val="24"/>
                <w:szCs w:val="24"/>
              </w:rPr>
              <w:t> </w:t>
            </w:r>
            <w:r w:rsidR="00C10277" w:rsidRPr="0053577B">
              <w:rPr>
                <w:noProof/>
                <w:sz w:val="24"/>
                <w:szCs w:val="24"/>
              </w:rPr>
              <w:t> </w:t>
            </w:r>
            <w:r w:rsidRPr="0053577B">
              <w:rPr>
                <w:sz w:val="24"/>
                <w:szCs w:val="24"/>
              </w:rPr>
              <w:fldChar w:fldCharType="end"/>
            </w:r>
            <w:bookmarkEnd w:id="13"/>
          </w:p>
        </w:tc>
        <w:tc>
          <w:tcPr>
            <w:tcW w:w="3002" w:type="dxa"/>
            <w:vAlign w:val="center"/>
          </w:tcPr>
          <w:p w14:paraId="26E10A17" w14:textId="77777777" w:rsidR="00C10277" w:rsidRPr="0053577B" w:rsidRDefault="005E2D3D" w:rsidP="0053577B">
            <w:pPr>
              <w:snapToGrid w:val="0"/>
              <w:spacing w:line="276" w:lineRule="auto"/>
              <w:jc w:val="both"/>
              <w:rPr>
                <w:sz w:val="24"/>
                <w:szCs w:val="24"/>
              </w:rPr>
            </w:pPr>
            <w:r w:rsidRPr="0053577B">
              <w:rPr>
                <w:sz w:val="24"/>
                <w:szCs w:val="24"/>
              </w:rPr>
              <w:fldChar w:fldCharType="begin">
                <w:ffData>
                  <w:name w:val="Text10"/>
                  <w:enabled/>
                  <w:calcOnExit w:val="0"/>
                  <w:textInput/>
                </w:ffData>
              </w:fldChar>
            </w:r>
            <w:bookmarkStart w:id="14" w:name="Text10"/>
            <w:r w:rsidR="00C10277" w:rsidRPr="0053577B">
              <w:rPr>
                <w:sz w:val="24"/>
                <w:szCs w:val="24"/>
              </w:rPr>
              <w:instrText xml:space="preserve"> FORMTEXT </w:instrText>
            </w:r>
            <w:r w:rsidRPr="0053577B">
              <w:rPr>
                <w:sz w:val="24"/>
                <w:szCs w:val="24"/>
              </w:rPr>
            </w:r>
            <w:r w:rsidRPr="0053577B">
              <w:rPr>
                <w:sz w:val="24"/>
                <w:szCs w:val="24"/>
              </w:rPr>
              <w:fldChar w:fldCharType="separate"/>
            </w:r>
            <w:r w:rsidR="00C10277" w:rsidRPr="0053577B">
              <w:rPr>
                <w:noProof/>
                <w:sz w:val="24"/>
                <w:szCs w:val="24"/>
              </w:rPr>
              <w:t> </w:t>
            </w:r>
            <w:r w:rsidR="00AC1A10" w:rsidRPr="0053577B">
              <w:rPr>
                <w:noProof/>
                <w:sz w:val="24"/>
                <w:szCs w:val="24"/>
              </w:rPr>
              <w:t>ZHANG</w:t>
            </w:r>
            <w:r w:rsidR="00C10277" w:rsidRPr="0053577B">
              <w:rPr>
                <w:noProof/>
                <w:sz w:val="24"/>
                <w:szCs w:val="24"/>
              </w:rPr>
              <w:t> </w:t>
            </w:r>
            <w:r w:rsidR="00C10277" w:rsidRPr="0053577B">
              <w:rPr>
                <w:noProof/>
                <w:sz w:val="24"/>
                <w:szCs w:val="24"/>
              </w:rPr>
              <w:t> </w:t>
            </w:r>
            <w:r w:rsidR="00C10277" w:rsidRPr="0053577B">
              <w:rPr>
                <w:noProof/>
                <w:sz w:val="24"/>
                <w:szCs w:val="24"/>
              </w:rPr>
              <w:t> </w:t>
            </w:r>
            <w:r w:rsidR="00C10277" w:rsidRPr="0053577B">
              <w:rPr>
                <w:noProof/>
                <w:sz w:val="24"/>
                <w:szCs w:val="24"/>
              </w:rPr>
              <w:t> </w:t>
            </w:r>
            <w:r w:rsidRPr="0053577B">
              <w:rPr>
                <w:sz w:val="24"/>
                <w:szCs w:val="24"/>
              </w:rPr>
              <w:fldChar w:fldCharType="end"/>
            </w:r>
            <w:bookmarkEnd w:id="14"/>
          </w:p>
        </w:tc>
        <w:tc>
          <w:tcPr>
            <w:tcW w:w="3002" w:type="dxa"/>
            <w:vAlign w:val="center"/>
          </w:tcPr>
          <w:p w14:paraId="224CEDE6" w14:textId="77777777" w:rsidR="00C10277" w:rsidRPr="0053577B" w:rsidRDefault="005E2D3D" w:rsidP="0053577B">
            <w:pPr>
              <w:snapToGrid w:val="0"/>
              <w:spacing w:line="276" w:lineRule="auto"/>
              <w:jc w:val="both"/>
              <w:rPr>
                <w:sz w:val="24"/>
                <w:szCs w:val="24"/>
              </w:rPr>
            </w:pPr>
            <w:r w:rsidRPr="0053577B">
              <w:rPr>
                <w:sz w:val="24"/>
                <w:szCs w:val="24"/>
              </w:rPr>
              <w:fldChar w:fldCharType="begin">
                <w:ffData>
                  <w:name w:val="Text11"/>
                  <w:enabled/>
                  <w:calcOnExit w:val="0"/>
                  <w:textInput/>
                </w:ffData>
              </w:fldChar>
            </w:r>
            <w:bookmarkStart w:id="15" w:name="Text11"/>
            <w:r w:rsidR="00C10277" w:rsidRPr="0053577B">
              <w:rPr>
                <w:sz w:val="24"/>
                <w:szCs w:val="24"/>
              </w:rPr>
              <w:instrText xml:space="preserve"> FORMTEXT </w:instrText>
            </w:r>
            <w:r w:rsidRPr="0053577B">
              <w:rPr>
                <w:sz w:val="24"/>
                <w:szCs w:val="24"/>
              </w:rPr>
            </w:r>
            <w:r w:rsidRPr="0053577B">
              <w:rPr>
                <w:sz w:val="24"/>
                <w:szCs w:val="24"/>
              </w:rPr>
              <w:fldChar w:fldCharType="separate"/>
            </w:r>
            <w:r w:rsidR="00C10277" w:rsidRPr="0053577B">
              <w:rPr>
                <w:noProof/>
                <w:sz w:val="24"/>
                <w:szCs w:val="24"/>
              </w:rPr>
              <w:t> </w:t>
            </w:r>
            <w:r w:rsidR="00AC1A10" w:rsidRPr="0053577B">
              <w:rPr>
                <w:noProof/>
                <w:sz w:val="24"/>
                <w:szCs w:val="24"/>
              </w:rPr>
              <w:t>ZHEN</w:t>
            </w:r>
            <w:r w:rsidR="00C10277" w:rsidRPr="0053577B">
              <w:rPr>
                <w:noProof/>
                <w:sz w:val="24"/>
                <w:szCs w:val="24"/>
              </w:rPr>
              <w:t> </w:t>
            </w:r>
            <w:r w:rsidR="00C10277" w:rsidRPr="0053577B">
              <w:rPr>
                <w:noProof/>
                <w:sz w:val="24"/>
                <w:szCs w:val="24"/>
              </w:rPr>
              <w:t> </w:t>
            </w:r>
            <w:r w:rsidR="00C10277" w:rsidRPr="0053577B">
              <w:rPr>
                <w:noProof/>
                <w:sz w:val="24"/>
                <w:szCs w:val="24"/>
              </w:rPr>
              <w:t> </w:t>
            </w:r>
            <w:r w:rsidR="00C10277" w:rsidRPr="0053577B">
              <w:rPr>
                <w:noProof/>
                <w:sz w:val="24"/>
                <w:szCs w:val="24"/>
              </w:rPr>
              <w:t> </w:t>
            </w:r>
            <w:r w:rsidRPr="0053577B">
              <w:rPr>
                <w:sz w:val="24"/>
                <w:szCs w:val="24"/>
              </w:rPr>
              <w:fldChar w:fldCharType="end"/>
            </w:r>
            <w:bookmarkEnd w:id="15"/>
          </w:p>
        </w:tc>
      </w:tr>
    </w:tbl>
    <w:p w14:paraId="084AD493" w14:textId="77777777" w:rsidR="001307AC" w:rsidRPr="0053577B" w:rsidRDefault="001307AC" w:rsidP="0053577B">
      <w:pPr>
        <w:snapToGrid w:val="0"/>
        <w:jc w:val="both"/>
        <w:rPr>
          <w:sz w:val="24"/>
          <w:szCs w:val="24"/>
        </w:rPr>
        <w:sectPr w:rsidR="001307AC" w:rsidRPr="0053577B" w:rsidSect="00605B09">
          <w:footerReference w:type="default" r:id="rId10"/>
          <w:pgSz w:w="12240" w:h="15840" w:code="1"/>
          <w:pgMar w:top="284" w:right="1800" w:bottom="1440" w:left="1800" w:header="1008" w:footer="1008" w:gutter="0"/>
          <w:cols w:space="720"/>
          <w:formProt w:val="0"/>
          <w:titlePg/>
          <w:docGrid w:linePitch="360"/>
        </w:sectPr>
      </w:pPr>
      <w:r w:rsidRPr="0053577B">
        <w:rPr>
          <w:noProof/>
          <w:sz w:val="24"/>
          <w:szCs w:val="24"/>
          <w:lang w:val="en-US" w:eastAsia="zh-CN"/>
        </w:rPr>
        <w:drawing>
          <wp:anchor distT="0" distB="0" distL="114300" distR="114300" simplePos="0" relativeHeight="251658240" behindDoc="0" locked="0" layoutInCell="1" allowOverlap="1" wp14:anchorId="3BC7A077" wp14:editId="7463C507">
            <wp:simplePos x="0" y="0"/>
            <wp:positionH relativeFrom="column">
              <wp:posOffset>-466725</wp:posOffset>
            </wp:positionH>
            <wp:positionV relativeFrom="paragraph">
              <wp:posOffset>25400</wp:posOffset>
            </wp:positionV>
            <wp:extent cx="6496050" cy="2419350"/>
            <wp:effectExtent l="19050" t="0" r="0" b="0"/>
            <wp:wrapNone/>
            <wp:docPr id="4" name="Picture 4" descr="C:\Documents and Settings\uqsfox\Desktop\Declaration of Original Ow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qsfox\Desktop\Declaration of Original Ownership.jpg"/>
                    <pic:cNvPicPr>
                      <a:picLocks noChangeAspect="1" noChangeArrowheads="1"/>
                    </pic:cNvPicPr>
                  </pic:nvPicPr>
                  <pic:blipFill>
                    <a:blip r:embed="rId11" cstate="print"/>
                    <a:srcRect b="73590"/>
                    <a:stretch>
                      <a:fillRect/>
                    </a:stretch>
                  </pic:blipFill>
                  <pic:spPr bwMode="auto">
                    <a:xfrm>
                      <a:off x="0" y="0"/>
                      <a:ext cx="6496050" cy="2419350"/>
                    </a:xfrm>
                    <a:prstGeom prst="rect">
                      <a:avLst/>
                    </a:prstGeom>
                    <a:noFill/>
                    <a:ln w="9525">
                      <a:noFill/>
                      <a:miter lim="800000"/>
                      <a:headEnd/>
                      <a:tailEnd/>
                    </a:ln>
                  </pic:spPr>
                </pic:pic>
              </a:graphicData>
            </a:graphic>
          </wp:anchor>
        </w:drawing>
      </w:r>
    </w:p>
    <w:p w14:paraId="7F4702E5" w14:textId="77777777" w:rsidR="006547FA" w:rsidRPr="0053577B" w:rsidRDefault="005B46FE" w:rsidP="0053577B">
      <w:pPr>
        <w:widowControl w:val="0"/>
        <w:snapToGrid w:val="0"/>
        <w:jc w:val="both"/>
        <w:rPr>
          <w:sz w:val="24"/>
          <w:szCs w:val="24"/>
          <w:u w:val="single"/>
          <w:lang w:eastAsia="zh-CN"/>
        </w:rPr>
      </w:pPr>
      <w:r w:rsidRPr="0053577B">
        <w:rPr>
          <w:sz w:val="24"/>
          <w:szCs w:val="24"/>
          <w:u w:val="single"/>
          <w:lang w:eastAsia="zh-CN"/>
        </w:rPr>
        <w:lastRenderedPageBreak/>
        <w:t>Introduction</w:t>
      </w:r>
    </w:p>
    <w:p w14:paraId="50EE998A" w14:textId="6158F852" w:rsidR="0053577B" w:rsidRDefault="00852C3C" w:rsidP="0053577B">
      <w:pPr>
        <w:widowControl w:val="0"/>
        <w:snapToGrid w:val="0"/>
        <w:jc w:val="both"/>
        <w:rPr>
          <w:sz w:val="24"/>
          <w:szCs w:val="24"/>
          <w:u w:val="single"/>
          <w:lang w:eastAsia="zh-CN"/>
        </w:rPr>
      </w:pPr>
      <w:r w:rsidRPr="0053577B">
        <w:rPr>
          <w:sz w:val="24"/>
          <w:szCs w:val="24"/>
        </w:rPr>
        <w:t>Diabetes is</w:t>
      </w:r>
      <w:r w:rsidRPr="0053577B">
        <w:rPr>
          <w:sz w:val="24"/>
          <w:szCs w:val="24"/>
          <w:lang w:eastAsia="zh-CN"/>
        </w:rPr>
        <w:t xml:space="preserve"> </w:t>
      </w:r>
      <w:r w:rsidR="005B46FE" w:rsidRPr="0053577B">
        <w:rPr>
          <w:sz w:val="24"/>
          <w:szCs w:val="24"/>
        </w:rPr>
        <w:t>one of the most popular disease</w:t>
      </w:r>
      <w:r w:rsidRPr="0053577B">
        <w:rPr>
          <w:sz w:val="24"/>
          <w:szCs w:val="24"/>
          <w:lang w:eastAsia="zh-CN"/>
        </w:rPr>
        <w:t>s</w:t>
      </w:r>
      <w:r w:rsidRPr="0053577B">
        <w:rPr>
          <w:sz w:val="24"/>
          <w:szCs w:val="24"/>
        </w:rPr>
        <w:t xml:space="preserve"> </w:t>
      </w:r>
      <w:r w:rsidR="005B46FE" w:rsidRPr="0053577B">
        <w:rPr>
          <w:sz w:val="24"/>
          <w:szCs w:val="24"/>
        </w:rPr>
        <w:t xml:space="preserve">worldwide, two types of diabetes are type </w:t>
      </w:r>
      <w:proofErr w:type="gramStart"/>
      <w:r w:rsidR="005B46FE" w:rsidRPr="0053577B">
        <w:rPr>
          <w:sz w:val="24"/>
          <w:szCs w:val="24"/>
        </w:rPr>
        <w:t>1 diabetes</w:t>
      </w:r>
      <w:proofErr w:type="gramEnd"/>
      <w:r w:rsidR="005B46FE" w:rsidRPr="0053577B">
        <w:rPr>
          <w:sz w:val="24"/>
          <w:szCs w:val="24"/>
        </w:rPr>
        <w:t xml:space="preserve"> (T1D) and type 2 diabetes (T2D). Diabetes is characterized by a deficiency in insulin secretion and sensitivity. T1D is a chronic autoimmune disease that is genetically susceptible present in human. Human pancreatic beta cells are attacked by own immune system, and destroyed or damaging them leading to reductively production of insulin and f</w:t>
      </w:r>
      <w:r w:rsidR="00DA664D" w:rsidRPr="0053577B">
        <w:rPr>
          <w:sz w:val="24"/>
          <w:szCs w:val="24"/>
        </w:rPr>
        <w:t xml:space="preserve">ollowed by </w:t>
      </w:r>
      <w:proofErr w:type="spellStart"/>
      <w:r w:rsidR="00DA664D" w:rsidRPr="0053577B">
        <w:rPr>
          <w:sz w:val="24"/>
          <w:szCs w:val="24"/>
        </w:rPr>
        <w:t>hyperglycemia</w:t>
      </w:r>
      <w:proofErr w:type="spellEnd"/>
      <w:r w:rsidR="00DA664D" w:rsidRPr="0053577B">
        <w:rPr>
          <w:sz w:val="24"/>
          <w:szCs w:val="24"/>
        </w:rPr>
        <w:t xml:space="preserve"> </w:t>
      </w:r>
      <w:r w:rsidR="00FD1908">
        <w:rPr>
          <w:sz w:val="24"/>
          <w:szCs w:val="24"/>
        </w:rPr>
        <w:t>(</w:t>
      </w:r>
      <w:r w:rsidR="00DA664D" w:rsidRPr="0053577B">
        <w:rPr>
          <w:rFonts w:eastAsia="宋体" w:cs="Century"/>
          <w:sz w:val="24"/>
          <w:szCs w:val="24"/>
          <w:lang w:eastAsia="zh-CN"/>
        </w:rPr>
        <w:t xml:space="preserve">Tom </w:t>
      </w:r>
      <w:r w:rsidR="008715FD">
        <w:rPr>
          <w:rFonts w:eastAsia="宋体" w:cs="Century"/>
          <w:sz w:val="24"/>
          <w:szCs w:val="24"/>
          <w:lang w:val="en-US" w:eastAsia="zh-CN"/>
        </w:rPr>
        <w:t>et al.</w:t>
      </w:r>
      <w:r w:rsidR="006547FA" w:rsidRPr="0053577B">
        <w:rPr>
          <w:rFonts w:eastAsia="宋体" w:cs="Century"/>
          <w:sz w:val="24"/>
          <w:szCs w:val="24"/>
          <w:lang w:val="en-US" w:eastAsia="zh-CN"/>
        </w:rPr>
        <w:t>,</w:t>
      </w:r>
      <w:r w:rsidR="00DA664D" w:rsidRPr="0053577B">
        <w:rPr>
          <w:rFonts w:eastAsia="宋体" w:cs="Century"/>
          <w:sz w:val="24"/>
          <w:szCs w:val="24"/>
          <w:lang w:val="en-US" w:eastAsia="zh-CN"/>
        </w:rPr>
        <w:t xml:space="preserve"> 2011</w:t>
      </w:r>
      <w:r w:rsidR="00FD1908">
        <w:rPr>
          <w:rFonts w:eastAsia="宋体" w:cs="Century"/>
          <w:sz w:val="24"/>
          <w:szCs w:val="24"/>
          <w:lang w:val="en-US" w:eastAsia="zh-CN"/>
        </w:rPr>
        <w:t xml:space="preserve">) </w:t>
      </w:r>
      <w:r w:rsidR="00FD1908">
        <w:rPr>
          <w:sz w:val="24"/>
          <w:szCs w:val="24"/>
        </w:rPr>
        <w:t>(</w:t>
      </w:r>
      <w:r w:rsidR="008715FD">
        <w:rPr>
          <w:rFonts w:cs="Times"/>
          <w:color w:val="262626"/>
          <w:sz w:val="24"/>
          <w:szCs w:val="24"/>
          <w:lang w:val="en-US"/>
        </w:rPr>
        <w:t>Atkinson</w:t>
      </w:r>
      <w:r w:rsidR="00DA664D" w:rsidRPr="0053577B">
        <w:rPr>
          <w:rFonts w:eastAsia="宋体" w:cs="Helvetica"/>
          <w:sz w:val="24"/>
          <w:szCs w:val="24"/>
          <w:lang w:eastAsia="zh-CN"/>
        </w:rPr>
        <w:t>, 2012</w:t>
      </w:r>
      <w:r w:rsidR="00FD1908">
        <w:rPr>
          <w:sz w:val="24"/>
          <w:szCs w:val="24"/>
        </w:rPr>
        <w:t>)</w:t>
      </w:r>
      <w:r w:rsidR="005B46FE" w:rsidRPr="0053577B">
        <w:rPr>
          <w:sz w:val="24"/>
          <w:szCs w:val="24"/>
        </w:rPr>
        <w:t>. T2D is distinguishe</w:t>
      </w:r>
      <w:r w:rsidR="00FD1908">
        <w:rPr>
          <w:sz w:val="24"/>
          <w:szCs w:val="24"/>
        </w:rPr>
        <w:t xml:space="preserve">d with T1D, which the important </w:t>
      </w:r>
      <w:r w:rsidR="005B46FE" w:rsidRPr="0053577B">
        <w:rPr>
          <w:sz w:val="24"/>
          <w:szCs w:val="24"/>
        </w:rPr>
        <w:t>features are the defective of receptor response in insulin and progressive pancreatic beta cell failure</w:t>
      </w:r>
      <w:r w:rsidR="00DA664D" w:rsidRPr="0053577B">
        <w:rPr>
          <w:sz w:val="24"/>
          <w:szCs w:val="24"/>
        </w:rPr>
        <w:t xml:space="preserve"> </w:t>
      </w:r>
      <w:r w:rsidR="00FD1908">
        <w:rPr>
          <w:sz w:val="24"/>
          <w:szCs w:val="24"/>
        </w:rPr>
        <w:t>(</w:t>
      </w:r>
      <w:proofErr w:type="spellStart"/>
      <w:r w:rsidR="00DA664D" w:rsidRPr="0053577B">
        <w:rPr>
          <w:rFonts w:eastAsia="宋体" w:cs="Cambria"/>
          <w:sz w:val="24"/>
          <w:szCs w:val="24"/>
          <w:lang w:eastAsia="zh-CN"/>
        </w:rPr>
        <w:t>Schock</w:t>
      </w:r>
      <w:proofErr w:type="spellEnd"/>
      <w:r w:rsidR="00DA664D" w:rsidRPr="0053577B">
        <w:rPr>
          <w:rFonts w:eastAsia="宋体" w:cs="Cambria"/>
          <w:sz w:val="24"/>
          <w:szCs w:val="24"/>
          <w:lang w:eastAsia="zh-CN"/>
        </w:rPr>
        <w:t>-Kusch, 2009</w:t>
      </w:r>
      <w:r w:rsidR="00FD1908">
        <w:rPr>
          <w:sz w:val="24"/>
          <w:szCs w:val="24"/>
        </w:rPr>
        <w:t>)</w:t>
      </w:r>
      <w:r w:rsidR="005B46FE" w:rsidRPr="0053577B">
        <w:rPr>
          <w:sz w:val="24"/>
          <w:szCs w:val="24"/>
        </w:rPr>
        <w:t xml:space="preserve">. T1D is the major types of diabetes going to investigate in this study. T1D Patients are often diagnosed with the clinical signs, for instance, excessive thirst, frequently urination, and hunger. These often </w:t>
      </w:r>
      <w:r w:rsidR="005B46FE" w:rsidRPr="0053577B">
        <w:rPr>
          <w:sz w:val="24"/>
          <w:szCs w:val="24"/>
          <w:lang w:eastAsia="zh-CN"/>
        </w:rPr>
        <w:t>sign</w:t>
      </w:r>
      <w:r w:rsidR="00DA664D" w:rsidRPr="0053577B">
        <w:rPr>
          <w:sz w:val="24"/>
          <w:szCs w:val="24"/>
        </w:rPr>
        <w:t xml:space="preserve"> to blood </w:t>
      </w:r>
      <w:proofErr w:type="spellStart"/>
      <w:r w:rsidR="00DA664D" w:rsidRPr="0053577B">
        <w:rPr>
          <w:sz w:val="24"/>
          <w:szCs w:val="24"/>
        </w:rPr>
        <w:t>hyperglycemia</w:t>
      </w:r>
      <w:proofErr w:type="spellEnd"/>
      <w:r w:rsidR="00DA664D" w:rsidRPr="0053577B">
        <w:rPr>
          <w:sz w:val="24"/>
          <w:szCs w:val="24"/>
        </w:rPr>
        <w:t xml:space="preserve">. </w:t>
      </w:r>
      <w:proofErr w:type="gramStart"/>
      <w:r w:rsidR="008715FD">
        <w:rPr>
          <w:sz w:val="24"/>
          <w:szCs w:val="24"/>
        </w:rPr>
        <w:t>(</w:t>
      </w:r>
      <w:r w:rsidR="00DA664D" w:rsidRPr="0053577B">
        <w:rPr>
          <w:sz w:val="24"/>
          <w:szCs w:val="24"/>
        </w:rPr>
        <w:t xml:space="preserve">Tom </w:t>
      </w:r>
      <w:r w:rsidR="008715FD">
        <w:rPr>
          <w:sz w:val="24"/>
          <w:szCs w:val="24"/>
        </w:rPr>
        <w:t>et al.</w:t>
      </w:r>
      <w:r w:rsidR="006547FA" w:rsidRPr="0053577B">
        <w:rPr>
          <w:sz w:val="24"/>
          <w:szCs w:val="24"/>
        </w:rPr>
        <w:t xml:space="preserve">, </w:t>
      </w:r>
      <w:r w:rsidR="00DA664D" w:rsidRPr="0053577B">
        <w:rPr>
          <w:sz w:val="24"/>
          <w:szCs w:val="24"/>
        </w:rPr>
        <w:t>2011</w:t>
      </w:r>
      <w:r w:rsidR="008715FD">
        <w:rPr>
          <w:sz w:val="24"/>
          <w:szCs w:val="24"/>
        </w:rPr>
        <w:t>)</w:t>
      </w:r>
      <w:r w:rsidR="005B46FE" w:rsidRPr="0053577B">
        <w:rPr>
          <w:sz w:val="24"/>
          <w:szCs w:val="24"/>
        </w:rPr>
        <w:t>.</w:t>
      </w:r>
      <w:proofErr w:type="gramEnd"/>
      <w:r w:rsidR="005B46FE" w:rsidRPr="0053577B">
        <w:rPr>
          <w:sz w:val="24"/>
          <w:szCs w:val="24"/>
        </w:rPr>
        <w:t xml:space="preserve"> There are several complications that may result by </w:t>
      </w:r>
      <w:proofErr w:type="spellStart"/>
      <w:r w:rsidR="005B46FE" w:rsidRPr="0053577B">
        <w:rPr>
          <w:sz w:val="24"/>
          <w:szCs w:val="24"/>
        </w:rPr>
        <w:t>hyperglycemia</w:t>
      </w:r>
      <w:proofErr w:type="spellEnd"/>
      <w:r w:rsidR="005B46FE" w:rsidRPr="0053577B">
        <w:rPr>
          <w:sz w:val="24"/>
          <w:szCs w:val="24"/>
        </w:rPr>
        <w:t xml:space="preserve"> or </w:t>
      </w:r>
      <w:proofErr w:type="spellStart"/>
      <w:r w:rsidR="005B46FE" w:rsidRPr="0053577B">
        <w:rPr>
          <w:sz w:val="24"/>
          <w:szCs w:val="24"/>
        </w:rPr>
        <w:t>glucotoxicity</w:t>
      </w:r>
      <w:proofErr w:type="spellEnd"/>
      <w:r w:rsidR="005B46FE" w:rsidRPr="0053577B">
        <w:rPr>
          <w:sz w:val="24"/>
          <w:szCs w:val="24"/>
        </w:rPr>
        <w:t xml:space="preserve">, which including </w:t>
      </w:r>
      <w:proofErr w:type="spellStart"/>
      <w:r w:rsidR="005B46FE" w:rsidRPr="0053577B">
        <w:rPr>
          <w:sz w:val="24"/>
          <w:szCs w:val="24"/>
        </w:rPr>
        <w:t>microangiopathy</w:t>
      </w:r>
      <w:proofErr w:type="spellEnd"/>
      <w:r w:rsidR="005B46FE" w:rsidRPr="0053577B">
        <w:rPr>
          <w:sz w:val="24"/>
          <w:szCs w:val="24"/>
        </w:rPr>
        <w:t xml:space="preserve"> (</w:t>
      </w:r>
      <w:proofErr w:type="spellStart"/>
      <w:r w:rsidR="005B46FE" w:rsidRPr="0053577B">
        <w:rPr>
          <w:sz w:val="24"/>
          <w:szCs w:val="24"/>
        </w:rPr>
        <w:t>microvescular</w:t>
      </w:r>
      <w:proofErr w:type="spellEnd"/>
      <w:r w:rsidR="005B46FE" w:rsidRPr="0053577B">
        <w:rPr>
          <w:sz w:val="24"/>
          <w:szCs w:val="24"/>
        </w:rPr>
        <w:t xml:space="preserve">)(e.g. Neuropathy, nephropathy and retinopathy) and </w:t>
      </w:r>
      <w:proofErr w:type="spellStart"/>
      <w:r w:rsidR="005B46FE" w:rsidRPr="0053577B">
        <w:rPr>
          <w:sz w:val="24"/>
          <w:szCs w:val="24"/>
        </w:rPr>
        <w:t>macroangiopathy</w:t>
      </w:r>
      <w:proofErr w:type="spellEnd"/>
      <w:r w:rsidR="005B46FE" w:rsidRPr="0053577B">
        <w:rPr>
          <w:sz w:val="24"/>
          <w:szCs w:val="24"/>
        </w:rPr>
        <w:t xml:space="preserve"> (</w:t>
      </w:r>
      <w:proofErr w:type="spellStart"/>
      <w:r w:rsidR="005B46FE" w:rsidRPr="0053577B">
        <w:rPr>
          <w:sz w:val="24"/>
          <w:szCs w:val="24"/>
        </w:rPr>
        <w:t>macrovescular</w:t>
      </w:r>
      <w:proofErr w:type="spellEnd"/>
      <w:r w:rsidR="005B46FE" w:rsidRPr="0053577B">
        <w:rPr>
          <w:sz w:val="24"/>
          <w:szCs w:val="24"/>
        </w:rPr>
        <w:t xml:space="preserve">)(e.g. cardiovascular </w:t>
      </w:r>
      <w:r w:rsidR="00DA664D" w:rsidRPr="0053577B">
        <w:rPr>
          <w:sz w:val="24"/>
          <w:szCs w:val="24"/>
        </w:rPr>
        <w:t xml:space="preserve">disease and cerebral disease) </w:t>
      </w:r>
      <w:r w:rsidR="008715FD">
        <w:rPr>
          <w:sz w:val="24"/>
          <w:szCs w:val="24"/>
        </w:rPr>
        <w:t>(</w:t>
      </w:r>
      <w:r w:rsidR="00DA664D" w:rsidRPr="0053577B">
        <w:rPr>
          <w:rFonts w:eastAsia="宋体" w:cs="Cambria"/>
          <w:sz w:val="24"/>
          <w:szCs w:val="24"/>
          <w:lang w:eastAsia="zh-CN"/>
        </w:rPr>
        <w:t xml:space="preserve">Chao </w:t>
      </w:r>
      <w:r w:rsidR="008715FD">
        <w:rPr>
          <w:rFonts w:eastAsia="宋体" w:cs="Cambria"/>
          <w:sz w:val="24"/>
          <w:szCs w:val="24"/>
          <w:lang w:eastAsia="zh-CN"/>
        </w:rPr>
        <w:t>et al</w:t>
      </w:r>
      <w:r w:rsidR="006547FA" w:rsidRPr="0053577B">
        <w:rPr>
          <w:rFonts w:eastAsia="宋体" w:cs="Cambria"/>
          <w:sz w:val="24"/>
          <w:szCs w:val="24"/>
          <w:lang w:eastAsia="zh-CN"/>
        </w:rPr>
        <w:t>.</w:t>
      </w:r>
      <w:r w:rsidR="00DA664D" w:rsidRPr="0053577B">
        <w:rPr>
          <w:rFonts w:eastAsia="宋体" w:cs="Cambria"/>
          <w:sz w:val="24"/>
          <w:szCs w:val="24"/>
          <w:lang w:eastAsia="zh-CN"/>
        </w:rPr>
        <w:t>, 2010</w:t>
      </w:r>
      <w:r w:rsidR="008715FD">
        <w:rPr>
          <w:sz w:val="24"/>
          <w:szCs w:val="24"/>
        </w:rPr>
        <w:t>)</w:t>
      </w:r>
      <w:r w:rsidR="005B46FE" w:rsidRPr="0053577B">
        <w:rPr>
          <w:sz w:val="24"/>
          <w:szCs w:val="24"/>
        </w:rPr>
        <w:t>.</w:t>
      </w:r>
    </w:p>
    <w:p w14:paraId="022A8F90" w14:textId="3E1C8AEC" w:rsidR="005B46FE" w:rsidRPr="0053577B" w:rsidRDefault="005B46FE" w:rsidP="0053577B">
      <w:pPr>
        <w:widowControl w:val="0"/>
        <w:snapToGrid w:val="0"/>
        <w:jc w:val="both"/>
        <w:rPr>
          <w:sz w:val="24"/>
          <w:szCs w:val="24"/>
          <w:u w:val="single"/>
          <w:lang w:eastAsia="zh-CN"/>
        </w:rPr>
      </w:pPr>
      <w:r w:rsidRPr="0053577B">
        <w:rPr>
          <w:sz w:val="24"/>
          <w:szCs w:val="24"/>
        </w:rPr>
        <w:t xml:space="preserve">It has been found in prior study that T1D patients with </w:t>
      </w:r>
      <w:proofErr w:type="spellStart"/>
      <w:r w:rsidRPr="0053577B">
        <w:rPr>
          <w:sz w:val="24"/>
          <w:szCs w:val="24"/>
        </w:rPr>
        <w:t>microangiopathy</w:t>
      </w:r>
      <w:proofErr w:type="spellEnd"/>
      <w:r w:rsidRPr="0053577B">
        <w:rPr>
          <w:sz w:val="24"/>
          <w:szCs w:val="24"/>
        </w:rPr>
        <w:t xml:space="preserve"> had </w:t>
      </w:r>
      <w:r w:rsidRPr="0053577B">
        <w:rPr>
          <w:sz w:val="24"/>
          <w:szCs w:val="24"/>
          <w:lang w:eastAsia="zh-CN"/>
        </w:rPr>
        <w:t>diminished brain neural networks connection that worked in people’ s attention, memory, auditory and language proces</w:t>
      </w:r>
      <w:r w:rsidR="006547FA" w:rsidRPr="0053577B">
        <w:rPr>
          <w:sz w:val="24"/>
          <w:szCs w:val="24"/>
          <w:lang w:eastAsia="zh-CN"/>
        </w:rPr>
        <w:t xml:space="preserve">sing, motor and visual process </w:t>
      </w:r>
      <w:r w:rsidR="008715FD">
        <w:rPr>
          <w:sz w:val="24"/>
          <w:szCs w:val="24"/>
        </w:rPr>
        <w:t>(</w:t>
      </w:r>
      <w:proofErr w:type="spellStart"/>
      <w:r w:rsidR="00C74626" w:rsidRPr="0053577B">
        <w:rPr>
          <w:rFonts w:eastAsia="宋体" w:cs="Courier"/>
          <w:sz w:val="24"/>
          <w:szCs w:val="24"/>
          <w:lang w:eastAsia="zh-CN"/>
        </w:rPr>
        <w:t>E</w:t>
      </w:r>
      <w:r w:rsidR="00C74626" w:rsidRPr="0053577B">
        <w:rPr>
          <w:rFonts w:eastAsia="宋体" w:cs="Times"/>
          <w:sz w:val="24"/>
          <w:szCs w:val="24"/>
          <w:lang w:eastAsia="zh-CN"/>
        </w:rPr>
        <w:t>elco</w:t>
      </w:r>
      <w:proofErr w:type="spellEnd"/>
      <w:r w:rsidR="00C74626" w:rsidRPr="0053577B">
        <w:rPr>
          <w:rFonts w:eastAsia="宋体" w:cs="Times"/>
          <w:sz w:val="24"/>
          <w:szCs w:val="24"/>
          <w:lang w:eastAsia="zh-CN"/>
        </w:rPr>
        <w:t xml:space="preserve"> </w:t>
      </w:r>
      <w:r w:rsidR="008715FD">
        <w:rPr>
          <w:rFonts w:eastAsia="宋体" w:cs="Times"/>
          <w:sz w:val="24"/>
          <w:szCs w:val="24"/>
          <w:lang w:eastAsia="zh-CN"/>
        </w:rPr>
        <w:t>et al.</w:t>
      </w:r>
      <w:r w:rsidR="00C74626" w:rsidRPr="0053577B">
        <w:rPr>
          <w:rFonts w:eastAsia="宋体" w:cs="Times"/>
          <w:sz w:val="24"/>
          <w:szCs w:val="24"/>
          <w:lang w:eastAsia="zh-CN"/>
        </w:rPr>
        <w:t>, 2012</w:t>
      </w:r>
      <w:r w:rsidR="008715FD">
        <w:rPr>
          <w:sz w:val="24"/>
          <w:szCs w:val="24"/>
        </w:rPr>
        <w:t>)</w:t>
      </w:r>
      <w:r w:rsidR="006547FA" w:rsidRPr="0053577B">
        <w:rPr>
          <w:sz w:val="24"/>
          <w:szCs w:val="24"/>
        </w:rPr>
        <w:t>. Additionally</w:t>
      </w:r>
      <w:r w:rsidRPr="0053577B">
        <w:rPr>
          <w:sz w:val="24"/>
          <w:szCs w:val="24"/>
        </w:rPr>
        <w:t xml:space="preserve"> Epidemiology of Diabetes Interventions and Complications (EDIC) found cognitive performance could be affected by diabetic </w:t>
      </w:r>
      <w:proofErr w:type="spellStart"/>
      <w:r w:rsidRPr="0053577B">
        <w:rPr>
          <w:sz w:val="24"/>
          <w:szCs w:val="24"/>
        </w:rPr>
        <w:t>microangiopathy</w:t>
      </w:r>
      <w:proofErr w:type="spellEnd"/>
      <w:r w:rsidRPr="0053577B">
        <w:rPr>
          <w:sz w:val="24"/>
          <w:szCs w:val="24"/>
        </w:rPr>
        <w:t>, as is known to be mediated by multiple interacting brain c</w:t>
      </w:r>
      <w:r w:rsidR="00DA664D" w:rsidRPr="0053577B">
        <w:rPr>
          <w:sz w:val="24"/>
          <w:szCs w:val="24"/>
        </w:rPr>
        <w:t xml:space="preserve">ircuits and their connections </w:t>
      </w:r>
      <w:r w:rsidR="008715FD">
        <w:rPr>
          <w:sz w:val="24"/>
          <w:szCs w:val="24"/>
        </w:rPr>
        <w:t>(</w:t>
      </w:r>
      <w:proofErr w:type="spellStart"/>
      <w:r w:rsidR="00DA664D" w:rsidRPr="0053577B">
        <w:rPr>
          <w:rFonts w:eastAsia="宋体" w:cs="Courier"/>
          <w:sz w:val="24"/>
          <w:szCs w:val="24"/>
          <w:lang w:eastAsia="zh-CN"/>
        </w:rPr>
        <w:t>E</w:t>
      </w:r>
      <w:r w:rsidR="00DA664D" w:rsidRPr="0053577B">
        <w:rPr>
          <w:rFonts w:eastAsia="宋体" w:cs="Times"/>
          <w:sz w:val="24"/>
          <w:szCs w:val="24"/>
          <w:lang w:eastAsia="zh-CN"/>
        </w:rPr>
        <w:t>elco</w:t>
      </w:r>
      <w:proofErr w:type="spellEnd"/>
      <w:r w:rsidR="00DA664D" w:rsidRPr="0053577B">
        <w:rPr>
          <w:rFonts w:eastAsia="宋体" w:cs="Times"/>
          <w:sz w:val="24"/>
          <w:szCs w:val="24"/>
          <w:lang w:eastAsia="zh-CN"/>
        </w:rPr>
        <w:t xml:space="preserve"> </w:t>
      </w:r>
      <w:r w:rsidR="008715FD">
        <w:rPr>
          <w:rFonts w:eastAsia="宋体" w:cs="Times"/>
          <w:sz w:val="24"/>
          <w:szCs w:val="24"/>
          <w:lang w:eastAsia="zh-CN"/>
        </w:rPr>
        <w:t>et al.</w:t>
      </w:r>
      <w:r w:rsidR="00DA664D" w:rsidRPr="0053577B">
        <w:rPr>
          <w:rFonts w:eastAsia="宋体" w:cs="Times"/>
          <w:sz w:val="24"/>
          <w:szCs w:val="24"/>
          <w:lang w:eastAsia="zh-CN"/>
        </w:rPr>
        <w:t>, 2012</w:t>
      </w:r>
      <w:r w:rsidR="008715FD">
        <w:rPr>
          <w:sz w:val="24"/>
          <w:szCs w:val="24"/>
        </w:rPr>
        <w:t>)</w:t>
      </w:r>
      <w:r w:rsidRPr="0053577B">
        <w:rPr>
          <w:sz w:val="24"/>
          <w:szCs w:val="24"/>
        </w:rPr>
        <w:t>.  Neurotransmitter and its receptor are the connection of each brain neural networks.</w:t>
      </w:r>
    </w:p>
    <w:p w14:paraId="02DEC89C" w14:textId="24822417" w:rsidR="0053577B" w:rsidRPr="0053577B" w:rsidRDefault="005B46FE" w:rsidP="0053577B">
      <w:pPr>
        <w:autoSpaceDE w:val="0"/>
        <w:autoSpaceDN w:val="0"/>
        <w:adjustRightInd w:val="0"/>
        <w:snapToGrid w:val="0"/>
        <w:spacing w:after="240"/>
        <w:jc w:val="both"/>
        <w:rPr>
          <w:rFonts w:eastAsia="宋体" w:cs="Lucida Sans Unicode"/>
          <w:color w:val="312A2A"/>
          <w:sz w:val="24"/>
          <w:szCs w:val="24"/>
          <w:lang w:eastAsia="zh-CN"/>
        </w:rPr>
      </w:pPr>
      <w:r w:rsidRPr="0053577B">
        <w:rPr>
          <w:sz w:val="24"/>
          <w:szCs w:val="24"/>
        </w:rPr>
        <w:t xml:space="preserve">Glutamate is the predominant excitatory neurotransmitter in the brain, retina etc. </w:t>
      </w:r>
      <w:r w:rsidRPr="0053577B">
        <w:rPr>
          <w:rFonts w:eastAsia="宋体"/>
          <w:sz w:val="24"/>
          <w:szCs w:val="24"/>
          <w:lang w:eastAsia="zh-CN"/>
        </w:rPr>
        <w:t xml:space="preserve">α-amino-3-hydroxy-5-methyl-4-isoxazole </w:t>
      </w:r>
      <w:proofErr w:type="spellStart"/>
      <w:r w:rsidRPr="0053577B">
        <w:rPr>
          <w:rFonts w:eastAsia="宋体"/>
          <w:sz w:val="24"/>
          <w:szCs w:val="24"/>
          <w:lang w:eastAsia="zh-CN"/>
        </w:rPr>
        <w:t>propio-nate</w:t>
      </w:r>
      <w:proofErr w:type="spellEnd"/>
      <w:r w:rsidRPr="0053577B">
        <w:rPr>
          <w:rFonts w:eastAsia="宋体"/>
          <w:sz w:val="24"/>
          <w:szCs w:val="24"/>
          <w:lang w:eastAsia="zh-CN"/>
        </w:rPr>
        <w:t xml:space="preserve"> (AMPA) is one of the subtype </w:t>
      </w:r>
      <w:proofErr w:type="spellStart"/>
      <w:r w:rsidRPr="0053577B">
        <w:rPr>
          <w:rFonts w:eastAsia="宋体"/>
          <w:sz w:val="24"/>
          <w:szCs w:val="24"/>
          <w:lang w:eastAsia="zh-CN"/>
        </w:rPr>
        <w:t>ionotropic</w:t>
      </w:r>
      <w:proofErr w:type="spellEnd"/>
      <w:r w:rsidRPr="0053577B">
        <w:rPr>
          <w:rFonts w:eastAsia="宋体"/>
          <w:sz w:val="24"/>
          <w:szCs w:val="24"/>
          <w:lang w:eastAsia="zh-CN"/>
        </w:rPr>
        <w:t xml:space="preserve"> glutamate receptors</w:t>
      </w:r>
      <w:r w:rsidRPr="0053577B">
        <w:rPr>
          <w:sz w:val="24"/>
          <w:szCs w:val="24"/>
        </w:rPr>
        <w:t xml:space="preserve"> that mediate the fast excitatory stimulation and ubiquitously disseminated throughout the central nervous system. The activation of AMPA receptors accelerated to the induction of long-term potentiation that is the major neural substrate in brain, which for the formation and development of learning and memory. The deficits in AMPA often </w:t>
      </w:r>
      <w:r w:rsidR="00DA664D" w:rsidRPr="0053577B">
        <w:rPr>
          <w:sz w:val="24"/>
          <w:szCs w:val="24"/>
        </w:rPr>
        <w:t xml:space="preserve">result in cognitive </w:t>
      </w:r>
      <w:r w:rsidR="006547FA" w:rsidRPr="0053577B">
        <w:rPr>
          <w:sz w:val="24"/>
          <w:szCs w:val="24"/>
        </w:rPr>
        <w:t xml:space="preserve">impairment </w:t>
      </w:r>
      <w:r w:rsidR="008715FD">
        <w:rPr>
          <w:sz w:val="24"/>
          <w:szCs w:val="24"/>
        </w:rPr>
        <w:t>(</w:t>
      </w:r>
      <w:r w:rsidR="00DA664D" w:rsidRPr="0053577B">
        <w:rPr>
          <w:rFonts w:eastAsia="宋体" w:cs="Times"/>
          <w:sz w:val="24"/>
          <w:szCs w:val="24"/>
          <w:lang w:eastAsia="zh-CN"/>
        </w:rPr>
        <w:t xml:space="preserve">Fowler </w:t>
      </w:r>
      <w:r w:rsidR="008715FD">
        <w:rPr>
          <w:rFonts w:eastAsia="宋体" w:cs="Times"/>
          <w:sz w:val="24"/>
          <w:szCs w:val="24"/>
          <w:lang w:eastAsia="zh-CN"/>
        </w:rPr>
        <w:t>et al</w:t>
      </w:r>
      <w:r w:rsidR="006547FA" w:rsidRPr="0053577B">
        <w:rPr>
          <w:rFonts w:eastAsia="宋体" w:cs="Times"/>
          <w:sz w:val="24"/>
          <w:szCs w:val="24"/>
          <w:lang w:eastAsia="zh-CN"/>
        </w:rPr>
        <w:t>.</w:t>
      </w:r>
      <w:r w:rsidR="00DA664D" w:rsidRPr="0053577B">
        <w:rPr>
          <w:rFonts w:eastAsia="宋体" w:cs="Times"/>
          <w:sz w:val="24"/>
          <w:szCs w:val="24"/>
          <w:lang w:eastAsia="zh-CN"/>
        </w:rPr>
        <w:t>, 2004</w:t>
      </w:r>
      <w:r w:rsidR="008715FD">
        <w:rPr>
          <w:sz w:val="24"/>
          <w:szCs w:val="24"/>
        </w:rPr>
        <w:t>)</w:t>
      </w:r>
      <w:r w:rsidRPr="0053577B">
        <w:rPr>
          <w:sz w:val="24"/>
          <w:szCs w:val="24"/>
        </w:rPr>
        <w:t>. Glutamate receptor 3 (GluR3) is a protein that is encoded by the Gria3 gene that</w:t>
      </w:r>
      <w:r w:rsidRPr="0053577B">
        <w:rPr>
          <w:rFonts w:eastAsia="宋体" w:cs="Lucida Sans Unicode"/>
          <w:color w:val="312A2A"/>
          <w:sz w:val="24"/>
          <w:szCs w:val="24"/>
          <w:lang w:eastAsia="zh-CN"/>
        </w:rPr>
        <w:t xml:space="preserve"> is on the long arm of the X chromosome. It has been showed in prior study that the partial tandem duplication of Gria3 in X chromosome on one allele in mother, would inherit to male offspring, and lead to the reductive expression of GluR3. It shows appare</w:t>
      </w:r>
      <w:r w:rsidR="006547FA" w:rsidRPr="0053577B">
        <w:rPr>
          <w:rFonts w:eastAsia="宋体" w:cs="Lucida Sans Unicode"/>
          <w:color w:val="312A2A"/>
          <w:sz w:val="24"/>
          <w:szCs w:val="24"/>
          <w:lang w:eastAsia="zh-CN"/>
        </w:rPr>
        <w:t>ntly that the mutations in Gria</w:t>
      </w:r>
      <w:r w:rsidRPr="0053577B">
        <w:rPr>
          <w:rFonts w:eastAsia="宋体" w:cs="Lucida Sans Unicode"/>
          <w:color w:val="312A2A"/>
          <w:sz w:val="24"/>
          <w:szCs w:val="24"/>
          <w:lang w:eastAsia="zh-CN"/>
        </w:rPr>
        <w:t>3 gene lead to reductive expression of GluR3 in male remarkably relate to mental retar</w:t>
      </w:r>
      <w:r w:rsidR="00DA664D" w:rsidRPr="0053577B">
        <w:rPr>
          <w:rFonts w:eastAsia="宋体" w:cs="Lucida Sans Unicode"/>
          <w:color w:val="312A2A"/>
          <w:sz w:val="24"/>
          <w:szCs w:val="24"/>
          <w:lang w:eastAsia="zh-CN"/>
        </w:rPr>
        <w:t xml:space="preserve">dation (cognitive impairment) </w:t>
      </w:r>
      <w:r w:rsidR="008715FD">
        <w:rPr>
          <w:rFonts w:eastAsia="宋体" w:cs="Lucida Sans Unicode"/>
          <w:color w:val="312A2A"/>
          <w:sz w:val="24"/>
          <w:szCs w:val="24"/>
          <w:lang w:eastAsia="zh-CN"/>
        </w:rPr>
        <w:t>(</w:t>
      </w:r>
      <w:r w:rsidR="00DA664D" w:rsidRPr="0053577B">
        <w:rPr>
          <w:rFonts w:eastAsia="宋体" w:cs="Times"/>
          <w:bCs/>
          <w:sz w:val="24"/>
          <w:szCs w:val="24"/>
          <w:lang w:eastAsia="zh-CN"/>
        </w:rPr>
        <w:t xml:space="preserve">Lau </w:t>
      </w:r>
      <w:r w:rsidR="008715FD">
        <w:rPr>
          <w:rFonts w:eastAsia="宋体" w:cs="Times"/>
          <w:bCs/>
          <w:sz w:val="24"/>
          <w:szCs w:val="24"/>
          <w:lang w:eastAsia="zh-CN"/>
        </w:rPr>
        <w:t>et al.</w:t>
      </w:r>
      <w:r w:rsidR="00DA664D" w:rsidRPr="0053577B">
        <w:rPr>
          <w:rFonts w:eastAsia="宋体" w:cs="Times"/>
          <w:bCs/>
          <w:sz w:val="24"/>
          <w:szCs w:val="24"/>
          <w:lang w:eastAsia="zh-CN"/>
        </w:rPr>
        <w:t>, 2013</w:t>
      </w:r>
      <w:r w:rsidR="008715FD">
        <w:rPr>
          <w:rFonts w:eastAsia="宋体" w:cs="Lucida Sans Unicode"/>
          <w:color w:val="312A2A"/>
          <w:sz w:val="24"/>
          <w:szCs w:val="24"/>
          <w:lang w:eastAsia="zh-CN"/>
        </w:rPr>
        <w:t>)</w:t>
      </w:r>
      <w:r w:rsidR="006547FA" w:rsidRPr="0053577B">
        <w:rPr>
          <w:rFonts w:eastAsia="宋体" w:cs="Lucida Sans Unicode"/>
          <w:color w:val="312A2A"/>
          <w:sz w:val="24"/>
          <w:szCs w:val="24"/>
          <w:lang w:eastAsia="zh-CN"/>
        </w:rPr>
        <w:t xml:space="preserve"> </w:t>
      </w:r>
      <w:r w:rsidR="008715FD">
        <w:rPr>
          <w:rFonts w:eastAsia="宋体" w:cs="Lucida Sans Unicode"/>
          <w:color w:val="312A2A"/>
          <w:sz w:val="24"/>
          <w:szCs w:val="24"/>
          <w:lang w:eastAsia="zh-CN"/>
        </w:rPr>
        <w:t>(</w:t>
      </w:r>
      <w:proofErr w:type="spellStart"/>
      <w:r w:rsidR="00DA664D" w:rsidRPr="0053577B">
        <w:rPr>
          <w:rFonts w:eastAsia="宋体" w:cs="Times"/>
          <w:color w:val="101010"/>
          <w:sz w:val="24"/>
          <w:szCs w:val="24"/>
          <w:lang w:eastAsia="zh-CN"/>
        </w:rPr>
        <w:t>Motyl</w:t>
      </w:r>
      <w:proofErr w:type="spellEnd"/>
      <w:r w:rsidR="00DA664D" w:rsidRPr="0053577B">
        <w:rPr>
          <w:rFonts w:eastAsia="宋体" w:cs="Times"/>
          <w:color w:val="101010"/>
          <w:sz w:val="24"/>
          <w:szCs w:val="24"/>
          <w:lang w:eastAsia="zh-CN"/>
        </w:rPr>
        <w:t xml:space="preserve"> &amp; McCabe, 2009</w:t>
      </w:r>
      <w:r w:rsidR="008715FD">
        <w:rPr>
          <w:rFonts w:eastAsia="宋体" w:cs="Lucida Sans Unicode"/>
          <w:color w:val="312A2A"/>
          <w:sz w:val="24"/>
          <w:szCs w:val="24"/>
          <w:lang w:eastAsia="zh-CN"/>
        </w:rPr>
        <w:t>)</w:t>
      </w:r>
      <w:r w:rsidRPr="0053577B">
        <w:rPr>
          <w:rFonts w:eastAsia="宋体" w:cs="Lucida Sans Unicode"/>
          <w:color w:val="312A2A"/>
          <w:sz w:val="24"/>
          <w:szCs w:val="24"/>
          <w:lang w:eastAsia="zh-CN"/>
        </w:rPr>
        <w:t xml:space="preserve">. Furthermore, without gene mutation, there are the other factor would cause the abnormal of </w:t>
      </w:r>
      <w:r w:rsidRPr="0053577B">
        <w:rPr>
          <w:rFonts w:eastAsia="宋体" w:cs="Lucida Sans Unicode"/>
          <w:color w:val="312A2A"/>
          <w:sz w:val="24"/>
          <w:szCs w:val="24"/>
          <w:lang w:eastAsia="zh-CN"/>
        </w:rPr>
        <w:lastRenderedPageBreak/>
        <w:t xml:space="preserve">GluR3 expression. The diabetes may be cause the loss of neuron cell by glutamate </w:t>
      </w:r>
      <w:proofErr w:type="spellStart"/>
      <w:r w:rsidRPr="0053577B">
        <w:rPr>
          <w:rFonts w:eastAsia="宋体" w:cs="Lucida Sans Unicode"/>
          <w:color w:val="312A2A"/>
          <w:sz w:val="24"/>
          <w:szCs w:val="24"/>
          <w:lang w:eastAsia="zh-CN"/>
        </w:rPr>
        <w:t>excitotoxicity</w:t>
      </w:r>
      <w:proofErr w:type="spellEnd"/>
      <w:r w:rsidRPr="0053577B">
        <w:rPr>
          <w:rFonts w:eastAsia="宋体" w:cs="Lucida Sans Unicode"/>
          <w:color w:val="312A2A"/>
          <w:sz w:val="24"/>
          <w:szCs w:val="24"/>
          <w:lang w:eastAsia="zh-CN"/>
        </w:rPr>
        <w:t xml:space="preserve"> and then allow large influx of </w:t>
      </w:r>
      <w:proofErr w:type="spellStart"/>
      <w:r w:rsidRPr="0053577B">
        <w:rPr>
          <w:rFonts w:eastAsia="宋体" w:cs="Lucida Sans Unicode"/>
          <w:color w:val="312A2A"/>
          <w:sz w:val="24"/>
          <w:szCs w:val="24"/>
          <w:lang w:eastAsia="zh-CN"/>
        </w:rPr>
        <w:t>Ca</w:t>
      </w:r>
      <w:proofErr w:type="spellEnd"/>
      <w:r w:rsidRPr="0053577B">
        <w:rPr>
          <w:rFonts w:eastAsia="宋体" w:cs="Lucida Sans Unicode"/>
          <w:color w:val="312A2A"/>
          <w:sz w:val="24"/>
          <w:szCs w:val="24"/>
          <w:lang w:eastAsia="zh-CN"/>
        </w:rPr>
        <w:t>+ to damage the cell, which would cause the reduction of</w:t>
      </w:r>
      <w:r w:rsidR="00DA664D" w:rsidRPr="0053577B">
        <w:rPr>
          <w:rFonts w:eastAsia="宋体" w:cs="Lucida Sans Unicode"/>
          <w:color w:val="312A2A"/>
          <w:sz w:val="24"/>
          <w:szCs w:val="24"/>
          <w:lang w:eastAsia="zh-CN"/>
        </w:rPr>
        <w:t xml:space="preserve"> glutamate receptor as well. </w:t>
      </w:r>
      <w:proofErr w:type="gramStart"/>
      <w:r w:rsidR="008715FD">
        <w:rPr>
          <w:rFonts w:eastAsia="宋体" w:cs="Lucida Sans Unicode"/>
          <w:color w:val="312A2A"/>
          <w:sz w:val="24"/>
          <w:szCs w:val="24"/>
          <w:lang w:eastAsia="zh-CN"/>
        </w:rPr>
        <w:t>(</w:t>
      </w:r>
      <w:proofErr w:type="spellStart"/>
      <w:r w:rsidR="00DA664D" w:rsidRPr="0053577B">
        <w:rPr>
          <w:rFonts w:eastAsia="宋体" w:cs="Times"/>
          <w:sz w:val="24"/>
          <w:szCs w:val="24"/>
          <w:lang w:eastAsia="zh-CN"/>
        </w:rPr>
        <w:t>Chiyonobu</w:t>
      </w:r>
      <w:proofErr w:type="spellEnd"/>
      <w:r w:rsidR="00DA664D" w:rsidRPr="0053577B">
        <w:rPr>
          <w:rFonts w:eastAsia="宋体" w:cs="Times"/>
          <w:sz w:val="24"/>
          <w:szCs w:val="24"/>
          <w:lang w:eastAsia="zh-CN"/>
        </w:rPr>
        <w:t xml:space="preserve"> </w:t>
      </w:r>
      <w:r w:rsidR="008715FD">
        <w:rPr>
          <w:rFonts w:eastAsia="宋体" w:cs="Times"/>
          <w:sz w:val="24"/>
          <w:szCs w:val="24"/>
          <w:lang w:eastAsia="zh-CN"/>
        </w:rPr>
        <w:t>et al.</w:t>
      </w:r>
      <w:r w:rsidR="006547FA" w:rsidRPr="0053577B">
        <w:rPr>
          <w:rFonts w:eastAsia="宋体" w:cs="Times"/>
          <w:sz w:val="24"/>
          <w:szCs w:val="24"/>
          <w:lang w:eastAsia="zh-CN"/>
        </w:rPr>
        <w:t xml:space="preserve">, </w:t>
      </w:r>
      <w:r w:rsidR="00DA664D" w:rsidRPr="0053577B">
        <w:rPr>
          <w:rFonts w:eastAsia="宋体" w:cs="Times"/>
          <w:sz w:val="24"/>
          <w:szCs w:val="24"/>
          <w:lang w:eastAsia="zh-CN"/>
        </w:rPr>
        <w:t>2007</w:t>
      </w:r>
      <w:r w:rsidR="008715FD">
        <w:rPr>
          <w:rFonts w:eastAsia="宋体" w:cs="Lucida Sans Unicode"/>
          <w:color w:val="312A2A"/>
          <w:sz w:val="24"/>
          <w:szCs w:val="24"/>
          <w:lang w:eastAsia="zh-CN"/>
        </w:rPr>
        <w:t>)</w:t>
      </w:r>
      <w:r w:rsidR="006547FA" w:rsidRPr="0053577B">
        <w:rPr>
          <w:rFonts w:eastAsia="宋体" w:cs="Lucida Sans Unicode"/>
          <w:color w:val="312A2A"/>
          <w:sz w:val="24"/>
          <w:szCs w:val="24"/>
          <w:lang w:eastAsia="zh-CN"/>
        </w:rPr>
        <w:t>.</w:t>
      </w:r>
      <w:proofErr w:type="gramEnd"/>
    </w:p>
    <w:p w14:paraId="1C76B05C" w14:textId="12C44065" w:rsidR="0053577B" w:rsidRPr="0053577B" w:rsidRDefault="005B46FE" w:rsidP="0053577B">
      <w:pPr>
        <w:autoSpaceDE w:val="0"/>
        <w:autoSpaceDN w:val="0"/>
        <w:adjustRightInd w:val="0"/>
        <w:snapToGrid w:val="0"/>
        <w:spacing w:after="240"/>
        <w:jc w:val="both"/>
        <w:rPr>
          <w:rFonts w:eastAsia="宋体" w:cs="Lucida Sans Unicode"/>
          <w:color w:val="312A2A"/>
          <w:sz w:val="24"/>
          <w:szCs w:val="24"/>
          <w:lang w:eastAsia="zh-CN"/>
        </w:rPr>
      </w:pPr>
      <w:r w:rsidRPr="0053577B">
        <w:rPr>
          <w:rFonts w:eastAsia="宋体" w:cs="Lucida Sans Unicode"/>
          <w:color w:val="312A2A"/>
          <w:sz w:val="24"/>
          <w:szCs w:val="24"/>
          <w:lang w:eastAsia="zh-CN"/>
        </w:rPr>
        <w:t xml:space="preserve">In the prior study, T1D may remarkably reduce the expression of </w:t>
      </w:r>
      <w:proofErr w:type="spellStart"/>
      <w:r w:rsidRPr="0053577B">
        <w:rPr>
          <w:sz w:val="24"/>
          <w:szCs w:val="24"/>
        </w:rPr>
        <w:t>ionotropic</w:t>
      </w:r>
      <w:proofErr w:type="spellEnd"/>
      <w:r w:rsidRPr="0053577B">
        <w:rPr>
          <w:sz w:val="24"/>
          <w:szCs w:val="24"/>
        </w:rPr>
        <w:t xml:space="preserve"> glutamate</w:t>
      </w:r>
      <w:r w:rsidRPr="0053577B">
        <w:rPr>
          <w:rFonts w:eastAsia="宋体" w:cs="Lucida Sans Unicode"/>
          <w:color w:val="312A2A"/>
          <w:sz w:val="24"/>
          <w:szCs w:val="24"/>
          <w:lang w:eastAsia="zh-CN"/>
        </w:rPr>
        <w:t xml:space="preserve"> receptor in rat retina after 12 weeks STZ treatment, which would interesting that whether T1D with or without </w:t>
      </w:r>
      <w:proofErr w:type="spellStart"/>
      <w:r w:rsidRPr="0053577B">
        <w:rPr>
          <w:sz w:val="24"/>
          <w:szCs w:val="24"/>
        </w:rPr>
        <w:t>microangiopahty</w:t>
      </w:r>
      <w:proofErr w:type="spellEnd"/>
      <w:r w:rsidRPr="0053577B">
        <w:rPr>
          <w:sz w:val="24"/>
          <w:szCs w:val="24"/>
        </w:rPr>
        <w:t xml:space="preserve"> </w:t>
      </w:r>
      <w:r w:rsidRPr="0053577B">
        <w:rPr>
          <w:rFonts w:eastAsia="宋体" w:cs="Lucida Sans Unicode"/>
          <w:color w:val="312A2A"/>
          <w:sz w:val="24"/>
          <w:szCs w:val="24"/>
          <w:lang w:eastAsia="zh-CN"/>
        </w:rPr>
        <w:t xml:space="preserve">cause the effects on </w:t>
      </w:r>
      <w:proofErr w:type="spellStart"/>
      <w:r w:rsidRPr="0053577B">
        <w:rPr>
          <w:rFonts w:eastAsia="宋体" w:cs="Lucida Sans Unicode"/>
          <w:color w:val="312A2A"/>
          <w:sz w:val="24"/>
          <w:szCs w:val="24"/>
          <w:lang w:eastAsia="zh-CN"/>
        </w:rPr>
        <w:t>ionotropic</w:t>
      </w:r>
      <w:proofErr w:type="spellEnd"/>
      <w:r w:rsidRPr="0053577B">
        <w:rPr>
          <w:rFonts w:eastAsia="宋体" w:cs="Lucida Sans Unicode"/>
          <w:color w:val="312A2A"/>
          <w:sz w:val="24"/>
          <w:szCs w:val="24"/>
          <w:lang w:eastAsia="zh-CN"/>
        </w:rPr>
        <w:t xml:space="preserve"> glutamate receptor expression in brain, especially in Gria3 gene that relate cognitive progression. </w:t>
      </w:r>
      <w:proofErr w:type="gramStart"/>
      <w:r w:rsidR="008715FD">
        <w:rPr>
          <w:rFonts w:eastAsia="宋体" w:cs="Lucida Sans Unicode"/>
          <w:color w:val="312A2A"/>
          <w:sz w:val="24"/>
          <w:szCs w:val="24"/>
          <w:lang w:eastAsia="zh-CN"/>
        </w:rPr>
        <w:t>(</w:t>
      </w:r>
      <w:proofErr w:type="spellStart"/>
      <w:r w:rsidR="00DA664D" w:rsidRPr="0053577B">
        <w:rPr>
          <w:rFonts w:eastAsia="宋体" w:cs="Times"/>
          <w:sz w:val="24"/>
          <w:szCs w:val="24"/>
          <w:lang w:eastAsia="zh-CN"/>
        </w:rPr>
        <w:t>Chiyonobu</w:t>
      </w:r>
      <w:proofErr w:type="spellEnd"/>
      <w:r w:rsidR="00DA664D" w:rsidRPr="0053577B">
        <w:rPr>
          <w:rFonts w:eastAsia="宋体" w:cs="Times"/>
          <w:sz w:val="24"/>
          <w:szCs w:val="24"/>
          <w:lang w:eastAsia="zh-CN"/>
        </w:rPr>
        <w:t xml:space="preserve"> </w:t>
      </w:r>
      <w:r w:rsidR="008715FD">
        <w:rPr>
          <w:rFonts w:eastAsia="宋体" w:cs="Times"/>
          <w:sz w:val="24"/>
          <w:szCs w:val="24"/>
          <w:lang w:eastAsia="zh-CN"/>
        </w:rPr>
        <w:t>et al.</w:t>
      </w:r>
      <w:r w:rsidR="00DA664D" w:rsidRPr="0053577B">
        <w:rPr>
          <w:rFonts w:eastAsia="宋体" w:cs="Times"/>
          <w:sz w:val="24"/>
          <w:szCs w:val="24"/>
          <w:lang w:eastAsia="zh-CN"/>
        </w:rPr>
        <w:t>, 2007</w:t>
      </w:r>
      <w:r w:rsidR="008715FD">
        <w:rPr>
          <w:rFonts w:eastAsia="宋体" w:cs="Lucida Sans Unicode"/>
          <w:color w:val="312A2A"/>
          <w:sz w:val="24"/>
          <w:szCs w:val="24"/>
          <w:lang w:eastAsia="zh-CN"/>
        </w:rPr>
        <w:t>)</w:t>
      </w:r>
      <w:r w:rsidR="006547FA" w:rsidRPr="0053577B">
        <w:rPr>
          <w:rFonts w:eastAsia="宋体" w:cs="Lucida Sans Unicode"/>
          <w:color w:val="312A2A"/>
          <w:sz w:val="24"/>
          <w:szCs w:val="24"/>
          <w:lang w:eastAsia="zh-CN"/>
        </w:rPr>
        <w:t>.</w:t>
      </w:r>
      <w:proofErr w:type="gramEnd"/>
    </w:p>
    <w:p w14:paraId="0DDA59A5" w14:textId="73C07302" w:rsidR="005B46FE" w:rsidRPr="0053577B" w:rsidRDefault="005B46FE" w:rsidP="0053577B">
      <w:pPr>
        <w:autoSpaceDE w:val="0"/>
        <w:autoSpaceDN w:val="0"/>
        <w:adjustRightInd w:val="0"/>
        <w:snapToGrid w:val="0"/>
        <w:spacing w:after="240"/>
        <w:jc w:val="both"/>
        <w:rPr>
          <w:rFonts w:eastAsia="宋体" w:cs="Lucida Sans Unicode"/>
          <w:color w:val="312A2A"/>
          <w:sz w:val="24"/>
          <w:szCs w:val="24"/>
          <w:lang w:eastAsia="zh-CN"/>
        </w:rPr>
      </w:pPr>
      <w:r w:rsidRPr="0053577B">
        <w:rPr>
          <w:rFonts w:eastAsia="宋体" w:cs="Lucida Sans Unicode"/>
          <w:color w:val="312A2A"/>
          <w:sz w:val="24"/>
          <w:szCs w:val="24"/>
          <w:lang w:eastAsia="zh-CN"/>
        </w:rPr>
        <w:t xml:space="preserve">In this study, propose is going to investigate the effect of T1D on Gria3 gene expression in rat brain.  </w:t>
      </w:r>
      <w:r w:rsidRPr="0053577B">
        <w:rPr>
          <w:sz w:val="24"/>
          <w:szCs w:val="24"/>
        </w:rPr>
        <w:t xml:space="preserve">Neuron </w:t>
      </w:r>
      <w:r w:rsidRPr="0053577B">
        <w:rPr>
          <w:rFonts w:cs="Lucida Grande"/>
          <w:sz w:val="24"/>
          <w:szCs w:val="24"/>
        </w:rPr>
        <w:t xml:space="preserve">dorsal root ganglia from </w:t>
      </w:r>
      <w:proofErr w:type="spellStart"/>
      <w:r w:rsidRPr="0053577B">
        <w:rPr>
          <w:sz w:val="24"/>
          <w:szCs w:val="24"/>
        </w:rPr>
        <w:t>streptozotocin</w:t>
      </w:r>
      <w:proofErr w:type="spellEnd"/>
      <w:r w:rsidRPr="0053577B">
        <w:rPr>
          <w:sz w:val="24"/>
          <w:szCs w:val="24"/>
        </w:rPr>
        <w:t xml:space="preserve"> (STZ) induced T1D rats had been used. STZ is a </w:t>
      </w:r>
      <w:proofErr w:type="spellStart"/>
      <w:r w:rsidRPr="0053577B">
        <w:rPr>
          <w:sz w:val="24"/>
          <w:szCs w:val="24"/>
        </w:rPr>
        <w:t>nitrosurea</w:t>
      </w:r>
      <w:proofErr w:type="spellEnd"/>
      <w:r w:rsidRPr="0053577B">
        <w:rPr>
          <w:sz w:val="24"/>
          <w:szCs w:val="24"/>
        </w:rPr>
        <w:t xml:space="preserve"> compound that enters pancreatic β cells and causes cellular toxicity and local immune responses that lead to </w:t>
      </w:r>
      <w:proofErr w:type="spellStart"/>
      <w:r w:rsidRPr="0053577B">
        <w:rPr>
          <w:sz w:val="24"/>
          <w:szCs w:val="24"/>
        </w:rPr>
        <w:t>hypoinsulinemia</w:t>
      </w:r>
      <w:proofErr w:type="spellEnd"/>
      <w:r w:rsidRPr="0053577B">
        <w:rPr>
          <w:sz w:val="24"/>
          <w:szCs w:val="24"/>
        </w:rPr>
        <w:t xml:space="preserve"> and hyperglycemia in animals. In addition,</w:t>
      </w:r>
      <w:r w:rsidR="004C116B" w:rsidRPr="0053577B">
        <w:rPr>
          <w:sz w:val="24"/>
          <w:szCs w:val="24"/>
        </w:rPr>
        <w:t xml:space="preserve"> real-time</w:t>
      </w:r>
      <w:r w:rsidR="006547FA" w:rsidRPr="0053577B">
        <w:rPr>
          <w:sz w:val="24"/>
          <w:szCs w:val="24"/>
        </w:rPr>
        <w:t xml:space="preserve"> polymerase chain reaction (</w:t>
      </w:r>
      <w:proofErr w:type="spellStart"/>
      <w:r w:rsidRPr="0053577B">
        <w:rPr>
          <w:sz w:val="24"/>
          <w:szCs w:val="24"/>
        </w:rPr>
        <w:t>qPCR</w:t>
      </w:r>
      <w:proofErr w:type="spellEnd"/>
      <w:r w:rsidR="006547FA" w:rsidRPr="0053577B">
        <w:rPr>
          <w:sz w:val="24"/>
          <w:szCs w:val="24"/>
        </w:rPr>
        <w:t>)</w:t>
      </w:r>
      <w:r w:rsidRPr="0053577B">
        <w:rPr>
          <w:sz w:val="24"/>
          <w:szCs w:val="24"/>
        </w:rPr>
        <w:t xml:space="preserve"> </w:t>
      </w:r>
      <w:r w:rsidR="006547FA" w:rsidRPr="0053577B">
        <w:rPr>
          <w:sz w:val="24"/>
          <w:szCs w:val="24"/>
        </w:rPr>
        <w:t xml:space="preserve">had been used as to quantify gene </w:t>
      </w:r>
      <w:r w:rsidRPr="0053577B">
        <w:rPr>
          <w:sz w:val="24"/>
          <w:szCs w:val="24"/>
        </w:rPr>
        <w:t xml:space="preserve">expression in the samples </w:t>
      </w:r>
      <w:r w:rsidR="008715FD">
        <w:rPr>
          <w:sz w:val="24"/>
          <w:szCs w:val="24"/>
        </w:rPr>
        <w:t>(</w:t>
      </w:r>
      <w:r w:rsidR="00DA664D" w:rsidRPr="0053577B">
        <w:rPr>
          <w:rFonts w:eastAsia="宋体" w:cs="Times"/>
          <w:bCs/>
          <w:sz w:val="24"/>
          <w:szCs w:val="24"/>
          <w:lang w:eastAsia="zh-CN"/>
        </w:rPr>
        <w:t xml:space="preserve">Wu </w:t>
      </w:r>
      <w:r w:rsidR="008715FD">
        <w:rPr>
          <w:rFonts w:eastAsia="宋体" w:cs="Times"/>
          <w:bCs/>
          <w:sz w:val="24"/>
          <w:szCs w:val="24"/>
          <w:lang w:eastAsia="zh-CN"/>
        </w:rPr>
        <w:t>et al.</w:t>
      </w:r>
      <w:r w:rsidR="00DA664D" w:rsidRPr="0053577B">
        <w:rPr>
          <w:rFonts w:eastAsia="宋体" w:cs="Times"/>
          <w:bCs/>
          <w:sz w:val="24"/>
          <w:szCs w:val="24"/>
          <w:lang w:eastAsia="zh-CN"/>
        </w:rPr>
        <w:t>, 2007</w:t>
      </w:r>
      <w:r w:rsidR="008715FD">
        <w:rPr>
          <w:sz w:val="24"/>
          <w:szCs w:val="24"/>
        </w:rPr>
        <w:t>)</w:t>
      </w:r>
      <w:r w:rsidR="004C116B" w:rsidRPr="0053577B">
        <w:rPr>
          <w:sz w:val="24"/>
          <w:szCs w:val="24"/>
        </w:rPr>
        <w:t>.</w:t>
      </w:r>
      <w:r w:rsidRPr="0053577B">
        <w:rPr>
          <w:sz w:val="24"/>
          <w:szCs w:val="24"/>
        </w:rPr>
        <w:t xml:space="preserve"> The exceptive result is that the reductive expression of Gria3 in neuron dorsal root ganglia from STZ-rat</w:t>
      </w:r>
      <w:r w:rsidR="004C116B" w:rsidRPr="0053577B">
        <w:rPr>
          <w:sz w:val="24"/>
          <w:szCs w:val="24"/>
        </w:rPr>
        <w:t>s</w:t>
      </w:r>
      <w:r w:rsidRPr="0053577B">
        <w:rPr>
          <w:sz w:val="24"/>
          <w:szCs w:val="24"/>
        </w:rPr>
        <w:t>.</w:t>
      </w:r>
    </w:p>
    <w:p w14:paraId="0CADB8AE" w14:textId="77777777" w:rsidR="005B46FE" w:rsidRPr="0053577B" w:rsidRDefault="005B46FE" w:rsidP="0053577B">
      <w:pPr>
        <w:pStyle w:val="1"/>
        <w:tabs>
          <w:tab w:val="left" w:pos="425"/>
        </w:tabs>
        <w:snapToGrid w:val="0"/>
        <w:spacing w:line="276" w:lineRule="auto"/>
        <w:ind w:left="0"/>
        <w:contextualSpacing w:val="0"/>
        <w:jc w:val="both"/>
        <w:rPr>
          <w:rFonts w:asciiTheme="minorHAnsi" w:hAnsiTheme="minorHAnsi"/>
          <w:u w:val="single"/>
          <w:lang w:eastAsia="zh-CN"/>
        </w:rPr>
      </w:pPr>
      <w:r w:rsidRPr="0053577B">
        <w:rPr>
          <w:rFonts w:asciiTheme="minorHAnsi" w:hAnsiTheme="minorHAnsi"/>
          <w:u w:val="single"/>
        </w:rPr>
        <w:t>Method</w:t>
      </w:r>
    </w:p>
    <w:p w14:paraId="402C6F54" w14:textId="0BC7013A" w:rsidR="0053577B" w:rsidRDefault="00AC1A10" w:rsidP="0053577B">
      <w:pPr>
        <w:pStyle w:val="1"/>
        <w:tabs>
          <w:tab w:val="left" w:pos="425"/>
        </w:tabs>
        <w:snapToGrid w:val="0"/>
        <w:spacing w:line="276" w:lineRule="auto"/>
        <w:ind w:left="0"/>
        <w:contextualSpacing w:val="0"/>
        <w:jc w:val="both"/>
        <w:rPr>
          <w:rFonts w:asciiTheme="minorHAnsi" w:hAnsiTheme="minorHAnsi"/>
        </w:rPr>
      </w:pPr>
      <w:r w:rsidRPr="0053577B">
        <w:rPr>
          <w:rFonts w:asciiTheme="minorHAnsi" w:hAnsiTheme="minorHAnsi"/>
        </w:rPr>
        <w:t>6-week old m</w:t>
      </w:r>
      <w:r w:rsidR="005B46FE" w:rsidRPr="0053577B">
        <w:rPr>
          <w:rFonts w:asciiTheme="minorHAnsi" w:hAnsiTheme="minorHAnsi"/>
        </w:rPr>
        <w:t xml:space="preserve">ale </w:t>
      </w:r>
      <w:proofErr w:type="spellStart"/>
      <w:r w:rsidR="005B46FE" w:rsidRPr="0053577B">
        <w:rPr>
          <w:rFonts w:asciiTheme="minorHAnsi" w:hAnsiTheme="minorHAnsi"/>
        </w:rPr>
        <w:t>Wistar</w:t>
      </w:r>
      <w:proofErr w:type="spellEnd"/>
      <w:r w:rsidR="005B46FE" w:rsidRPr="0053577B">
        <w:rPr>
          <w:rFonts w:asciiTheme="minorHAnsi" w:hAnsiTheme="minorHAnsi"/>
        </w:rPr>
        <w:t xml:space="preserve"> rats </w:t>
      </w:r>
      <w:r w:rsidRPr="0053577B">
        <w:rPr>
          <w:rFonts w:asciiTheme="minorHAnsi" w:hAnsiTheme="minorHAnsi"/>
        </w:rPr>
        <w:t xml:space="preserve">were injected </w:t>
      </w:r>
      <w:proofErr w:type="spellStart"/>
      <w:r w:rsidRPr="0053577B">
        <w:rPr>
          <w:rFonts w:asciiTheme="minorHAnsi" w:hAnsiTheme="minorHAnsi"/>
        </w:rPr>
        <w:t>intra</w:t>
      </w:r>
      <w:r w:rsidR="005B46FE" w:rsidRPr="0053577B">
        <w:rPr>
          <w:rFonts w:asciiTheme="minorHAnsi" w:hAnsiTheme="minorHAnsi"/>
        </w:rPr>
        <w:t>peritoneally</w:t>
      </w:r>
      <w:proofErr w:type="spellEnd"/>
      <w:r w:rsidR="005B46FE" w:rsidRPr="0053577B">
        <w:rPr>
          <w:rFonts w:asciiTheme="minorHAnsi" w:hAnsiTheme="minorHAnsi"/>
        </w:rPr>
        <w:t xml:space="preserve"> with a single dosage of 65mg/kg STZ </w:t>
      </w:r>
      <w:r w:rsidRPr="0053577B">
        <w:rPr>
          <w:rFonts w:asciiTheme="minorHAnsi" w:hAnsiTheme="minorHAnsi"/>
        </w:rPr>
        <w:t xml:space="preserve">for </w:t>
      </w:r>
      <w:r w:rsidR="005B46FE" w:rsidRPr="0053577B">
        <w:rPr>
          <w:rFonts w:asciiTheme="minorHAnsi" w:hAnsiTheme="minorHAnsi"/>
        </w:rPr>
        <w:t xml:space="preserve">6 weeks </w:t>
      </w:r>
      <w:proofErr w:type="spellStart"/>
      <w:r w:rsidRPr="0053577B">
        <w:rPr>
          <w:rFonts w:asciiTheme="minorHAnsi" w:hAnsiTheme="minorHAnsi"/>
        </w:rPr>
        <w:t>treatmet</w:t>
      </w:r>
      <w:proofErr w:type="spellEnd"/>
      <w:r w:rsidRPr="0053577B">
        <w:rPr>
          <w:rFonts w:asciiTheme="minorHAnsi" w:hAnsiTheme="minorHAnsi"/>
        </w:rPr>
        <w:t xml:space="preserve"> </w:t>
      </w:r>
      <w:r w:rsidR="005B46FE" w:rsidRPr="0053577B">
        <w:rPr>
          <w:rFonts w:asciiTheme="minorHAnsi" w:hAnsiTheme="minorHAnsi"/>
        </w:rPr>
        <w:t xml:space="preserve">and euthanized </w:t>
      </w:r>
      <w:r w:rsidRPr="0053577B">
        <w:rPr>
          <w:rFonts w:asciiTheme="minorHAnsi" w:hAnsiTheme="minorHAnsi"/>
        </w:rPr>
        <w:t xml:space="preserve">after T1D induced, </w:t>
      </w:r>
      <w:r w:rsidR="005B46FE" w:rsidRPr="0053577B">
        <w:rPr>
          <w:rFonts w:asciiTheme="minorHAnsi" w:hAnsiTheme="minorHAnsi"/>
        </w:rPr>
        <w:t xml:space="preserve">tissues (kidney, brain, heart ventricles) had been collected, and RNA extracted, </w:t>
      </w:r>
      <w:proofErr w:type="spellStart"/>
      <w:r w:rsidR="005B46FE" w:rsidRPr="0053577B">
        <w:rPr>
          <w:rFonts w:asciiTheme="minorHAnsi" w:hAnsiTheme="minorHAnsi"/>
        </w:rPr>
        <w:t>cDNA</w:t>
      </w:r>
      <w:proofErr w:type="spellEnd"/>
      <w:r w:rsidR="005B46FE" w:rsidRPr="0053577B">
        <w:rPr>
          <w:rFonts w:asciiTheme="minorHAnsi" w:hAnsiTheme="minorHAnsi"/>
        </w:rPr>
        <w:t xml:space="preserve"> synthesized to perform </w:t>
      </w:r>
      <w:proofErr w:type="spellStart"/>
      <w:r w:rsidR="005B46FE" w:rsidRPr="0053577B">
        <w:rPr>
          <w:rFonts w:asciiTheme="minorHAnsi" w:hAnsiTheme="minorHAnsi"/>
        </w:rPr>
        <w:t>qPCR</w:t>
      </w:r>
      <w:proofErr w:type="spellEnd"/>
      <w:r w:rsidR="005B46FE" w:rsidRPr="0053577B">
        <w:rPr>
          <w:rFonts w:asciiTheme="minorHAnsi" w:hAnsiTheme="minorHAnsi"/>
        </w:rPr>
        <w:t xml:space="preserve"> to analysis the expression of gene. Gene of interesting (GOI) had been chose from ‘Top 100 genes’ database. Furthermore, database for annotation, visualization &amp; integrated discovery (DAVID) was used to help find GOI from 100 genes database</w:t>
      </w:r>
      <w:r w:rsidR="00043376" w:rsidRPr="0053577B">
        <w:rPr>
          <w:rFonts w:asciiTheme="minorHAnsi" w:hAnsiTheme="minorHAnsi"/>
        </w:rPr>
        <w:t xml:space="preserve"> </w:t>
      </w:r>
      <w:r w:rsidR="008715FD">
        <w:rPr>
          <w:rFonts w:asciiTheme="minorHAnsi" w:hAnsiTheme="minorHAnsi"/>
        </w:rPr>
        <w:t>(</w:t>
      </w:r>
      <w:r w:rsidR="00043376" w:rsidRPr="0053577B">
        <w:rPr>
          <w:rFonts w:asciiTheme="minorHAnsi" w:hAnsiTheme="minorHAnsi"/>
        </w:rPr>
        <w:t>Nature Protocols, 2009 &amp; Nucleic Acids Res, 2009</w:t>
      </w:r>
      <w:r w:rsidR="008715FD">
        <w:rPr>
          <w:rFonts w:asciiTheme="minorHAnsi" w:hAnsiTheme="minorHAnsi"/>
        </w:rPr>
        <w:t>)</w:t>
      </w:r>
      <w:r w:rsidR="005B46FE" w:rsidRPr="0053577B">
        <w:rPr>
          <w:rFonts w:asciiTheme="minorHAnsi" w:hAnsiTheme="minorHAnsi"/>
        </w:rPr>
        <w:t>.  The methods were to choose Gria3 as GOI in this study by using DAVID in ‘</w:t>
      </w:r>
      <w:r w:rsidR="005B46FE" w:rsidRPr="0053577B">
        <w:rPr>
          <w:rFonts w:asciiTheme="minorHAnsi" w:eastAsia="宋体" w:hAnsiTheme="minorHAnsi" w:cs="Lucida Grande"/>
          <w:bCs/>
          <w:color w:val="0E0E0E"/>
          <w:lang w:eastAsia="zh-CN"/>
        </w:rPr>
        <w:t>GSE34000’ neuron dataset</w:t>
      </w:r>
      <w:r w:rsidR="005B46FE" w:rsidRPr="0053577B">
        <w:rPr>
          <w:rFonts w:asciiTheme="minorHAnsi" w:hAnsiTheme="minorHAnsi"/>
        </w:rPr>
        <w:t xml:space="preserve"> and then found that Gria3 was </w:t>
      </w:r>
      <w:proofErr w:type="spellStart"/>
      <w:r w:rsidR="006547FA" w:rsidRPr="0053577B">
        <w:rPr>
          <w:rFonts w:asciiTheme="minorHAnsi" w:hAnsiTheme="minorHAnsi"/>
        </w:rPr>
        <w:t>downregulated</w:t>
      </w:r>
      <w:proofErr w:type="spellEnd"/>
      <w:r w:rsidR="005B46FE" w:rsidRPr="0053577B">
        <w:rPr>
          <w:rFonts w:asciiTheme="minorHAnsi" w:hAnsiTheme="minorHAnsi"/>
        </w:rPr>
        <w:t xml:space="preserve"> in </w:t>
      </w:r>
      <w:proofErr w:type="spellStart"/>
      <w:r w:rsidR="005B46FE" w:rsidRPr="0053577B">
        <w:rPr>
          <w:rFonts w:asciiTheme="minorHAnsi" w:hAnsiTheme="minorHAnsi"/>
        </w:rPr>
        <w:t>neuroactive</w:t>
      </w:r>
      <w:proofErr w:type="spellEnd"/>
      <w:r w:rsidR="005B46FE" w:rsidRPr="0053577B">
        <w:rPr>
          <w:rFonts w:asciiTheme="minorHAnsi" w:hAnsiTheme="minorHAnsi"/>
        </w:rPr>
        <w:t xml:space="preserve"> pathway in brain, which relatively linked to type 1 diabetes model, and chose Gria3 gene in brain that had not been investigated in prior study. And then primer had been selected, which was R_Gria3_1.</w:t>
      </w:r>
    </w:p>
    <w:p w14:paraId="6AE5E567" w14:textId="03B7B665" w:rsidR="005B46FE" w:rsidRDefault="005B46FE" w:rsidP="0053577B">
      <w:pPr>
        <w:pStyle w:val="1"/>
        <w:tabs>
          <w:tab w:val="left" w:pos="425"/>
        </w:tabs>
        <w:snapToGrid w:val="0"/>
        <w:spacing w:line="276" w:lineRule="auto"/>
        <w:ind w:left="0"/>
        <w:contextualSpacing w:val="0"/>
        <w:jc w:val="both"/>
        <w:rPr>
          <w:rFonts w:asciiTheme="minorHAnsi" w:hAnsiTheme="minorHAnsi"/>
        </w:rPr>
      </w:pPr>
      <w:r w:rsidRPr="0053577B">
        <w:rPr>
          <w:rFonts w:asciiTheme="minorHAnsi" w:hAnsiTheme="minorHAnsi"/>
        </w:rPr>
        <w:t xml:space="preserve">Moreover, </w:t>
      </w:r>
      <w:proofErr w:type="spellStart"/>
      <w:r w:rsidRPr="0053577B">
        <w:rPr>
          <w:rFonts w:asciiTheme="minorHAnsi" w:hAnsiTheme="minorHAnsi"/>
        </w:rPr>
        <w:t>qPCR</w:t>
      </w:r>
      <w:proofErr w:type="spellEnd"/>
      <w:r w:rsidRPr="0053577B">
        <w:rPr>
          <w:rFonts w:asciiTheme="minorHAnsi" w:hAnsiTheme="minorHAnsi"/>
        </w:rPr>
        <w:t xml:space="preserve"> method had been performed to analysis the protein expression in diabetic brain samples (n=3). There were 6 samples were collected from three healthy rat and three STZ-diabetic mice. And </w:t>
      </w:r>
      <w:proofErr w:type="spellStart"/>
      <w:r w:rsidRPr="0053577B">
        <w:rPr>
          <w:rFonts w:asciiTheme="minorHAnsi" w:hAnsiTheme="minorHAnsi"/>
        </w:rPr>
        <w:t>cDNAs</w:t>
      </w:r>
      <w:proofErr w:type="spellEnd"/>
      <w:r w:rsidRPr="0053577B">
        <w:rPr>
          <w:rFonts w:asciiTheme="minorHAnsi" w:hAnsiTheme="minorHAnsi"/>
        </w:rPr>
        <w:t xml:space="preserve"> had been provided from tutors. In order to run PCR, forward and reverse primers were reconstitute with </w:t>
      </w:r>
      <w:proofErr w:type="spellStart"/>
      <w:r w:rsidRPr="0053577B">
        <w:rPr>
          <w:rFonts w:asciiTheme="minorHAnsi" w:hAnsiTheme="minorHAnsi"/>
        </w:rPr>
        <w:t>cDNAs</w:t>
      </w:r>
      <w:proofErr w:type="spellEnd"/>
      <w:r w:rsidRPr="0053577B">
        <w:rPr>
          <w:rFonts w:asciiTheme="minorHAnsi" w:hAnsiTheme="minorHAnsi"/>
        </w:rPr>
        <w:t xml:space="preserve">, working stocks had been set up, at same time housekeeper gene (Beta-actin) as a reference gene to standardize across different </w:t>
      </w:r>
      <w:proofErr w:type="spellStart"/>
      <w:r w:rsidRPr="0053577B">
        <w:rPr>
          <w:rFonts w:asciiTheme="minorHAnsi" w:hAnsiTheme="minorHAnsi"/>
        </w:rPr>
        <w:t>cDNA</w:t>
      </w:r>
      <w:proofErr w:type="spellEnd"/>
      <w:r w:rsidRPr="0053577B">
        <w:rPr>
          <w:rFonts w:asciiTheme="minorHAnsi" w:hAnsiTheme="minorHAnsi"/>
        </w:rPr>
        <w:t xml:space="preserve"> samples, which was not affected by diabetic and expressed at a similar level in most cells. Master mixes had been made to prepare for running PCR and triplicated the mixes to 96-well plate, and transferred into PCR machine to read fluorescent signal.</w:t>
      </w:r>
    </w:p>
    <w:p w14:paraId="689D4EB1" w14:textId="77777777" w:rsidR="0053577B" w:rsidRPr="0053577B" w:rsidRDefault="0053577B" w:rsidP="0053577B">
      <w:pPr>
        <w:pStyle w:val="1"/>
        <w:tabs>
          <w:tab w:val="left" w:pos="425"/>
        </w:tabs>
        <w:snapToGrid w:val="0"/>
        <w:spacing w:line="276" w:lineRule="auto"/>
        <w:ind w:left="0"/>
        <w:contextualSpacing w:val="0"/>
        <w:jc w:val="both"/>
        <w:rPr>
          <w:rFonts w:asciiTheme="minorHAnsi" w:hAnsiTheme="minorHAnsi"/>
        </w:rPr>
      </w:pPr>
    </w:p>
    <w:p w14:paraId="539E7FFB" w14:textId="1C865EE9" w:rsidR="0053577B" w:rsidRPr="0053577B" w:rsidRDefault="005B46FE" w:rsidP="0053577B">
      <w:pPr>
        <w:pStyle w:val="1"/>
        <w:tabs>
          <w:tab w:val="left" w:pos="425"/>
        </w:tabs>
        <w:snapToGrid w:val="0"/>
        <w:spacing w:line="276" w:lineRule="auto"/>
        <w:ind w:left="0"/>
        <w:contextualSpacing w:val="0"/>
        <w:jc w:val="both"/>
        <w:rPr>
          <w:rFonts w:asciiTheme="minorHAnsi" w:hAnsiTheme="minorHAnsi"/>
        </w:rPr>
      </w:pPr>
      <w:r w:rsidRPr="0053577B">
        <w:rPr>
          <w:rFonts w:asciiTheme="minorHAnsi" w:hAnsiTheme="minorHAnsi"/>
        </w:rPr>
        <w:lastRenderedPageBreak/>
        <w:t xml:space="preserve">After PCR running, the amount of protein had been calculated. It was by measuring how many cycles had been amplified to read the cycle threshold (CT), if more </w:t>
      </w:r>
      <w:proofErr w:type="spellStart"/>
      <w:r w:rsidRPr="0053577B">
        <w:rPr>
          <w:rFonts w:asciiTheme="minorHAnsi" w:hAnsiTheme="minorHAnsi"/>
        </w:rPr>
        <w:t>cDNA</w:t>
      </w:r>
      <w:proofErr w:type="spellEnd"/>
      <w:r w:rsidRPr="0053577B">
        <w:rPr>
          <w:rFonts w:asciiTheme="minorHAnsi" w:hAnsiTheme="minorHAnsi"/>
        </w:rPr>
        <w:t xml:space="preserve"> in sample which had fewer cycles to reach threshold. </w:t>
      </w:r>
      <w:proofErr w:type="spellStart"/>
      <w:r w:rsidRPr="0053577B">
        <w:rPr>
          <w:rFonts w:asciiTheme="minorHAnsi" w:hAnsiTheme="minorHAnsi"/>
        </w:rPr>
        <w:t>Normalisation</w:t>
      </w:r>
      <w:proofErr w:type="spellEnd"/>
      <w:r w:rsidRPr="0053577B">
        <w:rPr>
          <w:rFonts w:asciiTheme="minorHAnsi" w:hAnsiTheme="minorHAnsi"/>
        </w:rPr>
        <w:t xml:space="preserve"> of all samples was done and calculated delta-delta CT (</w:t>
      </w:r>
      <w:proofErr w:type="spellStart"/>
      <w:r w:rsidRPr="0053577B">
        <w:rPr>
          <w:rFonts w:asciiTheme="minorHAnsi" w:hAnsiTheme="minorHAnsi"/>
        </w:rPr>
        <w:t>ddCT</w:t>
      </w:r>
      <w:proofErr w:type="spellEnd"/>
      <w:r w:rsidRPr="0053577B">
        <w:rPr>
          <w:rFonts w:asciiTheme="minorHAnsi" w:hAnsiTheme="minorHAnsi"/>
        </w:rPr>
        <w:t>).</w:t>
      </w:r>
      <w:r w:rsidR="00CC2DC6" w:rsidRPr="0053577B">
        <w:rPr>
          <w:rFonts w:asciiTheme="minorHAnsi" w:hAnsiTheme="minorHAnsi"/>
        </w:rPr>
        <w:t xml:space="preserve"> Two-tailed T-test and then had been used for statistic analysis of the result.</w:t>
      </w:r>
    </w:p>
    <w:p w14:paraId="20E80055" w14:textId="77777777" w:rsidR="005B46FE" w:rsidRPr="0053577B" w:rsidRDefault="005B46FE" w:rsidP="0053577B">
      <w:pPr>
        <w:pStyle w:val="1"/>
        <w:tabs>
          <w:tab w:val="left" w:pos="425"/>
        </w:tabs>
        <w:snapToGrid w:val="0"/>
        <w:spacing w:line="276" w:lineRule="auto"/>
        <w:ind w:left="0"/>
        <w:contextualSpacing w:val="0"/>
        <w:jc w:val="both"/>
        <w:rPr>
          <w:rFonts w:asciiTheme="minorHAnsi" w:hAnsiTheme="minorHAnsi"/>
          <w:u w:val="single"/>
        </w:rPr>
      </w:pPr>
      <w:r w:rsidRPr="0053577B">
        <w:rPr>
          <w:rFonts w:asciiTheme="minorHAnsi" w:hAnsiTheme="minorHAnsi"/>
          <w:u w:val="single"/>
        </w:rPr>
        <w:t>Result</w:t>
      </w:r>
    </w:p>
    <w:p w14:paraId="7F61834F" w14:textId="1CF7FDCB" w:rsidR="005B46FE" w:rsidRPr="0053577B" w:rsidRDefault="005B46FE" w:rsidP="0053577B">
      <w:pPr>
        <w:pStyle w:val="1"/>
        <w:tabs>
          <w:tab w:val="left" w:pos="425"/>
        </w:tabs>
        <w:snapToGrid w:val="0"/>
        <w:spacing w:line="276" w:lineRule="auto"/>
        <w:ind w:left="0"/>
        <w:contextualSpacing w:val="0"/>
        <w:jc w:val="both"/>
        <w:rPr>
          <w:rFonts w:asciiTheme="minorHAnsi" w:hAnsiTheme="minorHAnsi"/>
        </w:rPr>
      </w:pPr>
      <w:r w:rsidRPr="0053577B">
        <w:rPr>
          <w:rFonts w:asciiTheme="minorHAnsi" w:hAnsiTheme="minorHAnsi"/>
        </w:rPr>
        <w:t xml:space="preserve">The result showed in Figure 1 that no significant different of the expression of Gria3 </w:t>
      </w:r>
      <w:r w:rsidR="00CC2DC6" w:rsidRPr="0053577B">
        <w:rPr>
          <w:rFonts w:asciiTheme="minorHAnsi" w:hAnsiTheme="minorHAnsi"/>
        </w:rPr>
        <w:t xml:space="preserve">gene </w:t>
      </w:r>
      <w:r w:rsidRPr="0053577B">
        <w:rPr>
          <w:rFonts w:asciiTheme="minorHAnsi" w:hAnsiTheme="minorHAnsi"/>
        </w:rPr>
        <w:t>between healthy rat brain and STZ-T1D rat brain (p&gt;0.05).</w:t>
      </w:r>
    </w:p>
    <w:p w14:paraId="5AF76402" w14:textId="77777777" w:rsidR="005B46FE" w:rsidRPr="0053577B" w:rsidRDefault="005B46FE" w:rsidP="0053577B">
      <w:pPr>
        <w:pStyle w:val="1"/>
        <w:tabs>
          <w:tab w:val="left" w:pos="425"/>
        </w:tabs>
        <w:snapToGrid w:val="0"/>
        <w:spacing w:line="276" w:lineRule="auto"/>
        <w:ind w:left="0"/>
        <w:contextualSpacing w:val="0"/>
        <w:jc w:val="both"/>
        <w:rPr>
          <w:rFonts w:asciiTheme="minorHAnsi" w:hAnsiTheme="minorHAnsi"/>
        </w:rPr>
      </w:pPr>
    </w:p>
    <w:p w14:paraId="5FC499BC" w14:textId="77777777" w:rsidR="005B46FE" w:rsidRPr="0053577B" w:rsidRDefault="005B46FE" w:rsidP="0053577B">
      <w:pPr>
        <w:pStyle w:val="1"/>
        <w:tabs>
          <w:tab w:val="left" w:pos="425"/>
        </w:tabs>
        <w:snapToGrid w:val="0"/>
        <w:spacing w:line="276" w:lineRule="auto"/>
        <w:ind w:left="0"/>
        <w:contextualSpacing w:val="0"/>
        <w:jc w:val="both"/>
        <w:rPr>
          <w:rFonts w:asciiTheme="minorHAnsi" w:hAnsiTheme="minorHAnsi"/>
        </w:rPr>
      </w:pPr>
      <w:r w:rsidRPr="0053577B">
        <w:rPr>
          <w:rFonts w:asciiTheme="minorHAnsi" w:hAnsiTheme="minorHAnsi"/>
          <w:noProof/>
          <w:lang w:eastAsia="zh-CN"/>
        </w:rPr>
        <w:drawing>
          <wp:inline distT="0" distB="0" distL="0" distR="0" wp14:anchorId="328A888B" wp14:editId="5F17D3E2">
            <wp:extent cx="2527300" cy="226980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lum contrast="-2000"/>
                      <a:extLst>
                        <a:ext uri="{28A0092B-C50C-407E-A947-70E740481C1C}">
                          <a14:useLocalDpi xmlns:a14="http://schemas.microsoft.com/office/drawing/2010/main" val="0"/>
                        </a:ext>
                      </a:extLst>
                    </a:blip>
                    <a:srcRect/>
                    <a:stretch>
                      <a:fillRect/>
                    </a:stretch>
                  </pic:blipFill>
                  <pic:spPr bwMode="auto">
                    <a:xfrm>
                      <a:off x="0" y="0"/>
                      <a:ext cx="2527300" cy="2269802"/>
                    </a:xfrm>
                    <a:prstGeom prst="rect">
                      <a:avLst/>
                    </a:prstGeom>
                    <a:noFill/>
                    <a:ln>
                      <a:noFill/>
                    </a:ln>
                  </pic:spPr>
                </pic:pic>
              </a:graphicData>
            </a:graphic>
          </wp:inline>
        </w:drawing>
      </w:r>
    </w:p>
    <w:p w14:paraId="144AA88D" w14:textId="2C418832" w:rsidR="005B46FE" w:rsidRPr="0053577B" w:rsidRDefault="005B46FE" w:rsidP="0053577B">
      <w:pPr>
        <w:pStyle w:val="1"/>
        <w:tabs>
          <w:tab w:val="left" w:pos="425"/>
        </w:tabs>
        <w:snapToGrid w:val="0"/>
        <w:spacing w:line="276" w:lineRule="auto"/>
        <w:ind w:left="0"/>
        <w:contextualSpacing w:val="0"/>
        <w:jc w:val="both"/>
        <w:rPr>
          <w:rFonts w:asciiTheme="minorHAnsi" w:hAnsiTheme="minorHAnsi"/>
        </w:rPr>
      </w:pPr>
      <w:proofErr w:type="gramStart"/>
      <w:r w:rsidRPr="0053577B">
        <w:rPr>
          <w:rFonts w:asciiTheme="minorHAnsi" w:hAnsiTheme="minorHAnsi"/>
        </w:rPr>
        <w:t>Fig.1 Gria3 expression in rat brain (neuron dorsal root ganglia).</w:t>
      </w:r>
      <w:proofErr w:type="gramEnd"/>
      <w:r w:rsidRPr="0053577B">
        <w:rPr>
          <w:rFonts w:asciiTheme="minorHAnsi" w:hAnsiTheme="minorHAnsi"/>
        </w:rPr>
        <w:t xml:space="preserve"> N=3, </w:t>
      </w:r>
      <w:r w:rsidRPr="0053577B">
        <w:rPr>
          <w:rFonts w:asciiTheme="minorHAnsi" w:eastAsia="ＭＳ ゴシック" w:hAnsiTheme="minorHAnsi"/>
          <w:color w:val="000000"/>
        </w:rPr>
        <w:t>±</w:t>
      </w:r>
      <w:r w:rsidRPr="0053577B">
        <w:rPr>
          <w:rFonts w:asciiTheme="minorHAnsi" w:hAnsiTheme="minorHAnsi"/>
        </w:rPr>
        <w:t>mean=SED. No significant difference in Gria3 expression in brain between healthy rat and STZ-T1D rat</w:t>
      </w:r>
      <w:r w:rsidR="004C116B" w:rsidRPr="0053577B">
        <w:rPr>
          <w:rFonts w:asciiTheme="minorHAnsi" w:hAnsiTheme="minorHAnsi"/>
        </w:rPr>
        <w:t>s</w:t>
      </w:r>
      <w:r w:rsidRPr="0053577B">
        <w:rPr>
          <w:rFonts w:asciiTheme="minorHAnsi" w:hAnsiTheme="minorHAnsi"/>
        </w:rPr>
        <w:t xml:space="preserve"> (p&gt;0.05).</w:t>
      </w:r>
    </w:p>
    <w:p w14:paraId="0F30E83E" w14:textId="77777777" w:rsidR="005B46FE" w:rsidRPr="0053577B" w:rsidRDefault="005B46FE" w:rsidP="0053577B">
      <w:pPr>
        <w:pStyle w:val="1"/>
        <w:tabs>
          <w:tab w:val="left" w:pos="425"/>
        </w:tabs>
        <w:snapToGrid w:val="0"/>
        <w:spacing w:line="276" w:lineRule="auto"/>
        <w:ind w:left="0"/>
        <w:contextualSpacing w:val="0"/>
        <w:jc w:val="both"/>
        <w:rPr>
          <w:rFonts w:asciiTheme="minorHAnsi" w:hAnsiTheme="minorHAnsi"/>
        </w:rPr>
      </w:pPr>
    </w:p>
    <w:p w14:paraId="624A3CC8" w14:textId="77777777" w:rsidR="005B46FE" w:rsidRPr="0053577B" w:rsidRDefault="005B46FE" w:rsidP="0053577B">
      <w:pPr>
        <w:pStyle w:val="1"/>
        <w:tabs>
          <w:tab w:val="left" w:pos="425"/>
        </w:tabs>
        <w:snapToGrid w:val="0"/>
        <w:spacing w:line="276" w:lineRule="auto"/>
        <w:ind w:left="0"/>
        <w:contextualSpacing w:val="0"/>
        <w:jc w:val="both"/>
        <w:rPr>
          <w:rFonts w:asciiTheme="minorHAnsi" w:hAnsiTheme="minorHAnsi"/>
          <w:u w:val="single"/>
        </w:rPr>
      </w:pPr>
      <w:r w:rsidRPr="0053577B">
        <w:rPr>
          <w:rFonts w:asciiTheme="minorHAnsi" w:hAnsiTheme="minorHAnsi"/>
          <w:u w:val="single"/>
        </w:rPr>
        <w:t>Discussion</w:t>
      </w:r>
    </w:p>
    <w:p w14:paraId="3C6E78F5" w14:textId="3566FB83" w:rsidR="00852C3C" w:rsidRPr="0053577B" w:rsidRDefault="005B46FE" w:rsidP="0053577B">
      <w:pPr>
        <w:tabs>
          <w:tab w:val="left" w:pos="420"/>
        </w:tabs>
        <w:snapToGrid w:val="0"/>
        <w:jc w:val="both"/>
        <w:rPr>
          <w:rFonts w:eastAsia="宋体" w:cs="Arial"/>
          <w:color w:val="252525"/>
          <w:sz w:val="24"/>
          <w:szCs w:val="24"/>
          <w:lang w:eastAsia="zh-CN"/>
        </w:rPr>
      </w:pPr>
      <w:r w:rsidRPr="0053577B">
        <w:rPr>
          <w:sz w:val="24"/>
          <w:szCs w:val="24"/>
        </w:rPr>
        <w:t xml:space="preserve">Based on the </w:t>
      </w:r>
      <w:r w:rsidR="00CC2DC6" w:rsidRPr="0053577B">
        <w:rPr>
          <w:sz w:val="24"/>
          <w:szCs w:val="24"/>
        </w:rPr>
        <w:t>result that had been done in this</w:t>
      </w:r>
      <w:r w:rsidRPr="0053577B">
        <w:rPr>
          <w:sz w:val="24"/>
          <w:szCs w:val="24"/>
        </w:rPr>
        <w:t xml:space="preserve"> study, which showed no significant different between healthy rat and STZ-T1D rat in the expression of Gria3 </w:t>
      </w:r>
      <w:r w:rsidR="00CC2DC6" w:rsidRPr="0053577B">
        <w:rPr>
          <w:sz w:val="24"/>
          <w:szCs w:val="24"/>
        </w:rPr>
        <w:t xml:space="preserve">gene </w:t>
      </w:r>
      <w:r w:rsidRPr="0053577B">
        <w:rPr>
          <w:sz w:val="24"/>
          <w:szCs w:val="24"/>
        </w:rPr>
        <w:t xml:space="preserve">in brain. The </w:t>
      </w:r>
      <w:r w:rsidRPr="0053577B">
        <w:rPr>
          <w:rFonts w:eastAsia="宋体" w:cs="Arial"/>
          <w:color w:val="252525"/>
          <w:sz w:val="24"/>
          <w:szCs w:val="24"/>
          <w:lang w:eastAsia="zh-CN"/>
        </w:rPr>
        <w:t>expectant result is rejected.</w:t>
      </w:r>
    </w:p>
    <w:p w14:paraId="15FEA253" w14:textId="2FAF3B08" w:rsidR="005B46FE" w:rsidRPr="0053577B" w:rsidRDefault="005B46FE" w:rsidP="0053577B">
      <w:pPr>
        <w:tabs>
          <w:tab w:val="left" w:pos="420"/>
        </w:tabs>
        <w:snapToGrid w:val="0"/>
        <w:jc w:val="both"/>
        <w:rPr>
          <w:rFonts w:eastAsia="宋体" w:cs="Arial"/>
          <w:color w:val="252525"/>
          <w:sz w:val="24"/>
          <w:szCs w:val="24"/>
          <w:lang w:eastAsia="zh-CN"/>
        </w:rPr>
      </w:pPr>
      <w:r w:rsidRPr="0053577B">
        <w:rPr>
          <w:rFonts w:eastAsia="宋体" w:cs="Arial"/>
          <w:color w:val="252525"/>
          <w:sz w:val="24"/>
          <w:szCs w:val="24"/>
          <w:lang w:eastAsia="zh-CN"/>
        </w:rPr>
        <w:t>Acc</w:t>
      </w:r>
      <w:bookmarkStart w:id="16" w:name="_GoBack"/>
      <w:bookmarkEnd w:id="16"/>
      <w:r w:rsidRPr="0053577B">
        <w:rPr>
          <w:rFonts w:eastAsia="宋体" w:cs="Arial"/>
          <w:color w:val="252525"/>
          <w:sz w:val="24"/>
          <w:szCs w:val="24"/>
          <w:lang w:eastAsia="zh-CN"/>
        </w:rPr>
        <w:t xml:space="preserve">ording to previous study, long term-chronic </w:t>
      </w:r>
      <w:proofErr w:type="spellStart"/>
      <w:r w:rsidRPr="0053577B">
        <w:rPr>
          <w:rFonts w:eastAsia="宋体" w:cs="Arial"/>
          <w:color w:val="252525"/>
          <w:sz w:val="24"/>
          <w:szCs w:val="24"/>
          <w:lang w:eastAsia="zh-CN"/>
        </w:rPr>
        <w:t>hyperglycemia</w:t>
      </w:r>
      <w:proofErr w:type="spellEnd"/>
      <w:r w:rsidRPr="0053577B">
        <w:rPr>
          <w:rFonts w:eastAsia="宋体" w:cs="Arial"/>
          <w:color w:val="252525"/>
          <w:sz w:val="24"/>
          <w:szCs w:val="24"/>
          <w:lang w:eastAsia="zh-CN"/>
        </w:rPr>
        <w:t xml:space="preserve"> could cause the </w:t>
      </w:r>
      <w:proofErr w:type="spellStart"/>
      <w:r w:rsidRPr="0053577B">
        <w:rPr>
          <w:sz w:val="24"/>
          <w:szCs w:val="24"/>
        </w:rPr>
        <w:t>microangiopathy</w:t>
      </w:r>
      <w:proofErr w:type="spellEnd"/>
      <w:r w:rsidRPr="0053577B">
        <w:rPr>
          <w:sz w:val="24"/>
          <w:szCs w:val="24"/>
        </w:rPr>
        <w:t xml:space="preserve"> including neuropathy</w:t>
      </w:r>
      <w:r w:rsidR="00DA664D" w:rsidRPr="0053577B">
        <w:rPr>
          <w:sz w:val="24"/>
          <w:szCs w:val="24"/>
        </w:rPr>
        <w:t xml:space="preserve"> </w:t>
      </w:r>
      <w:r w:rsidR="008715FD">
        <w:rPr>
          <w:sz w:val="24"/>
          <w:szCs w:val="24"/>
        </w:rPr>
        <w:t>(</w:t>
      </w:r>
      <w:proofErr w:type="spellStart"/>
      <w:r w:rsidR="00DA664D" w:rsidRPr="0053577B">
        <w:rPr>
          <w:rFonts w:eastAsia="宋体" w:cs="Courier"/>
          <w:sz w:val="24"/>
          <w:szCs w:val="24"/>
          <w:lang w:eastAsia="zh-CN"/>
        </w:rPr>
        <w:t>E</w:t>
      </w:r>
      <w:r w:rsidR="00DA664D" w:rsidRPr="0053577B">
        <w:rPr>
          <w:rFonts w:eastAsia="宋体" w:cs="Times"/>
          <w:sz w:val="24"/>
          <w:szCs w:val="24"/>
          <w:lang w:eastAsia="zh-CN"/>
        </w:rPr>
        <w:t>elco</w:t>
      </w:r>
      <w:proofErr w:type="spellEnd"/>
      <w:r w:rsidR="00DA664D" w:rsidRPr="0053577B">
        <w:rPr>
          <w:rFonts w:eastAsia="宋体" w:cs="Times"/>
          <w:sz w:val="24"/>
          <w:szCs w:val="24"/>
          <w:lang w:eastAsia="zh-CN"/>
        </w:rPr>
        <w:t xml:space="preserve"> </w:t>
      </w:r>
      <w:r w:rsidR="008715FD">
        <w:rPr>
          <w:rFonts w:eastAsia="宋体" w:cs="Times"/>
          <w:sz w:val="24"/>
          <w:szCs w:val="24"/>
          <w:lang w:eastAsia="zh-CN"/>
        </w:rPr>
        <w:t>et al.,</w:t>
      </w:r>
      <w:r w:rsidR="00DA664D" w:rsidRPr="0053577B">
        <w:rPr>
          <w:rFonts w:eastAsia="宋体" w:cs="Times"/>
          <w:sz w:val="24"/>
          <w:szCs w:val="24"/>
          <w:lang w:eastAsia="zh-CN"/>
        </w:rPr>
        <w:t xml:space="preserve"> 2012</w:t>
      </w:r>
      <w:r w:rsidR="008715FD">
        <w:rPr>
          <w:sz w:val="24"/>
          <w:szCs w:val="24"/>
        </w:rPr>
        <w:t>)</w:t>
      </w:r>
      <w:r w:rsidR="00CC2DC6" w:rsidRPr="0053577B">
        <w:rPr>
          <w:sz w:val="24"/>
          <w:szCs w:val="24"/>
        </w:rPr>
        <w:t>, which means T1D has</w:t>
      </w:r>
      <w:r w:rsidRPr="0053577B">
        <w:rPr>
          <w:sz w:val="24"/>
          <w:szCs w:val="24"/>
        </w:rPr>
        <w:t xml:space="preserve"> the possibility to damage the dorsal root ganglia in rat brain. Furthermore, some studies also mentioned that T1D without</w:t>
      </w:r>
      <w:r w:rsidR="00CC2DC6" w:rsidRPr="0053577B">
        <w:rPr>
          <w:sz w:val="24"/>
          <w:szCs w:val="24"/>
        </w:rPr>
        <w:t xml:space="preserve"> </w:t>
      </w:r>
      <w:proofErr w:type="spellStart"/>
      <w:r w:rsidR="00CC2DC6" w:rsidRPr="0053577B">
        <w:rPr>
          <w:sz w:val="24"/>
          <w:szCs w:val="24"/>
        </w:rPr>
        <w:t>microangiopathy</w:t>
      </w:r>
      <w:proofErr w:type="spellEnd"/>
      <w:r w:rsidR="00CC2DC6" w:rsidRPr="0053577B">
        <w:rPr>
          <w:sz w:val="24"/>
          <w:szCs w:val="24"/>
        </w:rPr>
        <w:t xml:space="preserve"> would also has</w:t>
      </w:r>
      <w:r w:rsidRPr="0053577B">
        <w:rPr>
          <w:sz w:val="24"/>
          <w:szCs w:val="24"/>
        </w:rPr>
        <w:t xml:space="preserve"> some effects </w:t>
      </w:r>
      <w:r w:rsidRPr="0053577B">
        <w:rPr>
          <w:sz w:val="24"/>
          <w:szCs w:val="24"/>
          <w:lang w:eastAsia="zh-CN"/>
        </w:rPr>
        <w:t>on</w:t>
      </w:r>
      <w:r w:rsidRPr="0053577B">
        <w:rPr>
          <w:sz w:val="24"/>
          <w:szCs w:val="24"/>
          <w:lang w:val="en-US" w:eastAsia="zh-CN"/>
        </w:rPr>
        <w:t xml:space="preserve"> neuron </w:t>
      </w:r>
      <w:r w:rsidRPr="0053577B">
        <w:rPr>
          <w:sz w:val="24"/>
          <w:szCs w:val="24"/>
        </w:rPr>
        <w:t>but not significant, which means 6 weeks treatment of STZ in rats may not sufficient to raise significant influence on neuron cell, as the high blood glucose in blood vessel affect the vessels first. It would</w:t>
      </w:r>
      <w:r w:rsidR="00CC2DC6" w:rsidRPr="0053577B">
        <w:rPr>
          <w:sz w:val="24"/>
          <w:szCs w:val="24"/>
        </w:rPr>
        <w:t xml:space="preserve"> be a plausible reason for</w:t>
      </w:r>
      <w:r w:rsidRPr="0053577B">
        <w:rPr>
          <w:sz w:val="24"/>
          <w:szCs w:val="24"/>
        </w:rPr>
        <w:t xml:space="preserve"> result that did not give evidence about the effects on </w:t>
      </w:r>
      <w:r w:rsidR="00DA664D" w:rsidRPr="0053577B">
        <w:rPr>
          <w:sz w:val="24"/>
          <w:szCs w:val="24"/>
        </w:rPr>
        <w:t xml:space="preserve">expression of Gria3 gene </w:t>
      </w:r>
      <w:r w:rsidR="008715FD">
        <w:rPr>
          <w:sz w:val="24"/>
          <w:szCs w:val="24"/>
        </w:rPr>
        <w:t>(</w:t>
      </w:r>
      <w:r w:rsidR="00DA664D" w:rsidRPr="0053577B">
        <w:rPr>
          <w:rFonts w:eastAsia="宋体" w:cs="Arial"/>
          <w:color w:val="262626"/>
          <w:sz w:val="24"/>
          <w:szCs w:val="24"/>
          <w:lang w:eastAsia="zh-CN"/>
        </w:rPr>
        <w:t xml:space="preserve">Van </w:t>
      </w:r>
      <w:r w:rsidR="008715FD">
        <w:rPr>
          <w:rFonts w:eastAsia="宋体" w:cs="Arial"/>
          <w:color w:val="262626"/>
          <w:sz w:val="24"/>
          <w:szCs w:val="24"/>
          <w:lang w:eastAsia="zh-CN"/>
        </w:rPr>
        <w:t>et al.</w:t>
      </w:r>
      <w:r w:rsidR="00DA664D" w:rsidRPr="0053577B">
        <w:rPr>
          <w:rFonts w:eastAsia="宋体" w:cs="Arial"/>
          <w:color w:val="262626"/>
          <w:sz w:val="24"/>
          <w:szCs w:val="24"/>
          <w:lang w:eastAsia="zh-CN"/>
        </w:rPr>
        <w:t>, 2009</w:t>
      </w:r>
      <w:r w:rsidR="008715FD">
        <w:rPr>
          <w:sz w:val="24"/>
          <w:szCs w:val="24"/>
        </w:rPr>
        <w:t>)</w:t>
      </w:r>
      <w:r w:rsidRPr="0053577B">
        <w:rPr>
          <w:sz w:val="24"/>
          <w:szCs w:val="24"/>
        </w:rPr>
        <w:t>.</w:t>
      </w:r>
    </w:p>
    <w:p w14:paraId="64A610A8" w14:textId="2396428B" w:rsidR="005B46FE" w:rsidRPr="0053577B" w:rsidRDefault="005B46FE" w:rsidP="0053577B">
      <w:pPr>
        <w:tabs>
          <w:tab w:val="left" w:pos="420"/>
        </w:tabs>
        <w:snapToGrid w:val="0"/>
        <w:jc w:val="both"/>
        <w:rPr>
          <w:rFonts w:eastAsia="宋体" w:cs="Arial"/>
          <w:color w:val="252525"/>
          <w:sz w:val="24"/>
          <w:szCs w:val="24"/>
          <w:lang w:eastAsia="zh-CN"/>
        </w:rPr>
      </w:pPr>
      <w:r w:rsidRPr="0053577B">
        <w:rPr>
          <w:sz w:val="24"/>
          <w:szCs w:val="24"/>
        </w:rPr>
        <w:t>Some research shown that GluR3 mRNA was expressed in the large neurons of the ganglion which innervate a sensory cell to use as an excitatory amin</w:t>
      </w:r>
      <w:r w:rsidR="00DA664D" w:rsidRPr="0053577B">
        <w:rPr>
          <w:sz w:val="24"/>
          <w:szCs w:val="24"/>
        </w:rPr>
        <w:t xml:space="preserve">o acid as a neurotransmitter </w:t>
      </w:r>
      <w:r w:rsidR="008715FD">
        <w:rPr>
          <w:sz w:val="24"/>
          <w:szCs w:val="24"/>
        </w:rPr>
        <w:t>(</w:t>
      </w:r>
      <w:proofErr w:type="spellStart"/>
      <w:r w:rsidR="00DA664D" w:rsidRPr="0053577B">
        <w:rPr>
          <w:rFonts w:eastAsia="宋体" w:cs="Verdana"/>
          <w:color w:val="262626"/>
          <w:sz w:val="24"/>
          <w:szCs w:val="24"/>
          <w:lang w:eastAsia="zh-CN"/>
        </w:rPr>
        <w:t>Safieddine</w:t>
      </w:r>
      <w:proofErr w:type="spellEnd"/>
      <w:r w:rsidR="00DA664D" w:rsidRPr="0053577B">
        <w:rPr>
          <w:rFonts w:eastAsia="宋体" w:cs="Verdana"/>
          <w:color w:val="262626"/>
          <w:sz w:val="24"/>
          <w:szCs w:val="24"/>
          <w:lang w:eastAsia="zh-CN"/>
        </w:rPr>
        <w:t xml:space="preserve"> </w:t>
      </w:r>
      <w:r w:rsidR="008715FD">
        <w:rPr>
          <w:rFonts w:eastAsia="宋体" w:cs="Verdana"/>
          <w:color w:val="262626"/>
          <w:sz w:val="24"/>
          <w:szCs w:val="24"/>
          <w:lang w:eastAsia="zh-CN"/>
        </w:rPr>
        <w:t>et al.</w:t>
      </w:r>
      <w:r w:rsidR="00DA664D" w:rsidRPr="0053577B">
        <w:rPr>
          <w:rFonts w:eastAsia="宋体" w:cs="Verdana"/>
          <w:color w:val="262626"/>
          <w:sz w:val="24"/>
          <w:szCs w:val="24"/>
          <w:lang w:eastAsia="zh-CN"/>
        </w:rPr>
        <w:t>, 1992</w:t>
      </w:r>
      <w:r w:rsidR="008715FD">
        <w:rPr>
          <w:sz w:val="24"/>
          <w:szCs w:val="24"/>
        </w:rPr>
        <w:t>)</w:t>
      </w:r>
      <w:r w:rsidRPr="0053577B">
        <w:rPr>
          <w:sz w:val="24"/>
          <w:szCs w:val="24"/>
        </w:rPr>
        <w:t xml:space="preserve">. This might explain why the expression of GluR3 in STZ-T1D mice is a slightly higher than healthy mice in Figure 1, as its exits </w:t>
      </w:r>
      <w:r w:rsidRPr="0053577B">
        <w:rPr>
          <w:sz w:val="24"/>
          <w:szCs w:val="24"/>
        </w:rPr>
        <w:lastRenderedPageBreak/>
        <w:t>abundant in ganglion nerve.</w:t>
      </w:r>
      <w:r w:rsidR="00CC2DC6" w:rsidRPr="0053577B">
        <w:rPr>
          <w:sz w:val="24"/>
          <w:szCs w:val="24"/>
        </w:rPr>
        <w:t xml:space="preserve"> </w:t>
      </w:r>
      <w:r w:rsidR="00CC2DC6" w:rsidRPr="0053577B">
        <w:rPr>
          <w:rFonts w:eastAsia="宋体" w:cs="Arial"/>
          <w:color w:val="252525"/>
          <w:sz w:val="24"/>
          <w:szCs w:val="24"/>
          <w:lang w:eastAsia="zh-CN"/>
        </w:rPr>
        <w:t xml:space="preserve">Nevertheless, in prior study, in rat retina, ganglion cells express Gria3, but after 2,4,6 weeks STZ exposure, no significant change in the expression of Gria3, even the strong evidence proved diabetes disrupts glutamate signalling in the retina and affects retinal neuron </w:t>
      </w:r>
      <w:r w:rsidR="008715FD">
        <w:rPr>
          <w:rFonts w:eastAsia="宋体" w:cs="Arial"/>
          <w:color w:val="252525"/>
          <w:sz w:val="24"/>
          <w:szCs w:val="24"/>
          <w:lang w:eastAsia="zh-CN"/>
        </w:rPr>
        <w:t>(</w:t>
      </w:r>
      <w:proofErr w:type="spellStart"/>
      <w:r w:rsidR="00CC2DC6" w:rsidRPr="0053577B">
        <w:rPr>
          <w:rFonts w:eastAsia="宋体" w:cs="Times"/>
          <w:sz w:val="24"/>
          <w:szCs w:val="24"/>
          <w:lang w:eastAsia="zh-CN"/>
        </w:rPr>
        <w:t>Chiyonobu</w:t>
      </w:r>
      <w:proofErr w:type="spellEnd"/>
      <w:r w:rsidR="00CC2DC6" w:rsidRPr="0053577B">
        <w:rPr>
          <w:rFonts w:eastAsia="宋体" w:cs="Times"/>
          <w:sz w:val="24"/>
          <w:szCs w:val="24"/>
          <w:lang w:eastAsia="zh-CN"/>
        </w:rPr>
        <w:t xml:space="preserve"> </w:t>
      </w:r>
      <w:r w:rsidR="008715FD">
        <w:rPr>
          <w:rFonts w:eastAsia="宋体" w:cs="Times"/>
          <w:sz w:val="24"/>
          <w:szCs w:val="24"/>
          <w:lang w:eastAsia="zh-CN"/>
        </w:rPr>
        <w:t>et al.</w:t>
      </w:r>
      <w:r w:rsidR="00CC2DC6" w:rsidRPr="0053577B">
        <w:rPr>
          <w:rFonts w:eastAsia="宋体" w:cs="Times"/>
          <w:sz w:val="24"/>
          <w:szCs w:val="24"/>
          <w:lang w:eastAsia="zh-CN"/>
        </w:rPr>
        <w:t>, 2007</w:t>
      </w:r>
      <w:r w:rsidR="008715FD">
        <w:rPr>
          <w:rFonts w:eastAsia="宋体" w:cs="Arial"/>
          <w:color w:val="252525"/>
          <w:sz w:val="24"/>
          <w:szCs w:val="24"/>
          <w:lang w:eastAsia="zh-CN"/>
        </w:rPr>
        <w:t>)</w:t>
      </w:r>
      <w:r w:rsidR="004C116B" w:rsidRPr="0053577B">
        <w:rPr>
          <w:rFonts w:eastAsia="宋体" w:cs="Arial"/>
          <w:color w:val="252525"/>
          <w:sz w:val="24"/>
          <w:szCs w:val="24"/>
          <w:lang w:eastAsia="zh-CN"/>
        </w:rPr>
        <w:t>.</w:t>
      </w:r>
    </w:p>
    <w:p w14:paraId="51D9FA50" w14:textId="1076C41A" w:rsidR="005B46FE" w:rsidRPr="0053577B" w:rsidRDefault="005B46FE" w:rsidP="0053577B">
      <w:pPr>
        <w:tabs>
          <w:tab w:val="left" w:pos="420"/>
        </w:tabs>
        <w:snapToGrid w:val="0"/>
        <w:jc w:val="both"/>
        <w:rPr>
          <w:rFonts w:eastAsia="宋体" w:cs="Arial"/>
          <w:color w:val="252525"/>
          <w:sz w:val="24"/>
          <w:szCs w:val="24"/>
          <w:lang w:eastAsia="zh-CN"/>
        </w:rPr>
      </w:pPr>
      <w:r w:rsidRPr="0053577B">
        <w:rPr>
          <w:sz w:val="24"/>
          <w:szCs w:val="24"/>
        </w:rPr>
        <w:t xml:space="preserve">Further, </w:t>
      </w:r>
      <w:r w:rsidRPr="0053577B">
        <w:rPr>
          <w:rFonts w:eastAsia="宋体" w:cs="Arial"/>
          <w:color w:val="252525"/>
          <w:sz w:val="24"/>
          <w:szCs w:val="24"/>
          <w:lang w:eastAsia="zh-CN"/>
        </w:rPr>
        <w:t xml:space="preserve">the sample had been used in this study that was dorsal root ganglia in rat brain. The axon of dorsal root ganglion is located in the peripheral nervous system (PNS) that transfer sensory signal to central nervous system (CNS). Nonetheless, it was reported most of </w:t>
      </w:r>
      <w:proofErr w:type="spellStart"/>
      <w:r w:rsidRPr="0053577B">
        <w:rPr>
          <w:rFonts w:eastAsia="宋体" w:cs="Arial"/>
          <w:color w:val="252525"/>
          <w:sz w:val="24"/>
          <w:szCs w:val="24"/>
          <w:lang w:eastAsia="zh-CN"/>
        </w:rPr>
        <w:t>glutamatergic</w:t>
      </w:r>
      <w:proofErr w:type="spellEnd"/>
      <w:r w:rsidRPr="0053577B">
        <w:rPr>
          <w:rFonts w:eastAsia="宋体" w:cs="Arial"/>
          <w:color w:val="252525"/>
          <w:sz w:val="24"/>
          <w:szCs w:val="24"/>
          <w:lang w:eastAsia="zh-CN"/>
        </w:rPr>
        <w:t xml:space="preserve"> receptors are localized all through the CNS, and the distribution of subtype of the receptor still remains some unknown, which means GluR3 might not in the axons of </w:t>
      </w:r>
      <w:proofErr w:type="spellStart"/>
      <w:r w:rsidRPr="0053577B">
        <w:rPr>
          <w:rFonts w:eastAsia="宋体" w:cs="Arial"/>
          <w:color w:val="252525"/>
          <w:sz w:val="24"/>
          <w:szCs w:val="24"/>
          <w:lang w:eastAsia="zh-CN"/>
        </w:rPr>
        <w:t>doral</w:t>
      </w:r>
      <w:proofErr w:type="spellEnd"/>
      <w:r w:rsidRPr="0053577B">
        <w:rPr>
          <w:rFonts w:eastAsia="宋体" w:cs="Arial"/>
          <w:color w:val="252525"/>
          <w:sz w:val="24"/>
          <w:szCs w:val="24"/>
          <w:lang w:eastAsia="zh-CN"/>
        </w:rPr>
        <w:t xml:space="preserve"> root ganglion that in PNS, and also T1D might affect GluR3 in other part of brain but not only dorsal root ganglia</w:t>
      </w:r>
      <w:r w:rsidR="00DA664D" w:rsidRPr="0053577B">
        <w:rPr>
          <w:rFonts w:eastAsia="宋体" w:cs="Arial"/>
          <w:color w:val="252525"/>
          <w:sz w:val="24"/>
          <w:szCs w:val="24"/>
          <w:lang w:eastAsia="zh-CN"/>
        </w:rPr>
        <w:t xml:space="preserve">. </w:t>
      </w:r>
      <w:r w:rsidR="008715FD">
        <w:rPr>
          <w:rFonts w:eastAsia="宋体" w:cs="Arial"/>
          <w:color w:val="252525"/>
          <w:sz w:val="24"/>
          <w:szCs w:val="24"/>
          <w:lang w:eastAsia="zh-CN"/>
        </w:rPr>
        <w:t>(</w:t>
      </w:r>
      <w:r w:rsidR="00DA664D" w:rsidRPr="0053577B">
        <w:rPr>
          <w:rFonts w:eastAsia="宋体" w:cs="Arial"/>
          <w:color w:val="262626"/>
          <w:sz w:val="24"/>
          <w:szCs w:val="24"/>
          <w:lang w:eastAsia="zh-CN"/>
        </w:rPr>
        <w:t xml:space="preserve">Breese </w:t>
      </w:r>
      <w:r w:rsidR="008715FD">
        <w:rPr>
          <w:rFonts w:eastAsia="宋体" w:cs="Arial"/>
          <w:color w:val="262626"/>
          <w:sz w:val="24"/>
          <w:szCs w:val="24"/>
          <w:lang w:eastAsia="zh-CN"/>
        </w:rPr>
        <w:t>et al.</w:t>
      </w:r>
      <w:r w:rsidR="00DA664D" w:rsidRPr="0053577B">
        <w:rPr>
          <w:rFonts w:eastAsia="宋体" w:cs="Arial"/>
          <w:color w:val="262626"/>
          <w:sz w:val="24"/>
          <w:szCs w:val="24"/>
          <w:lang w:eastAsia="zh-CN"/>
        </w:rPr>
        <w:t>, 1996</w:t>
      </w:r>
      <w:r w:rsidR="008715FD">
        <w:rPr>
          <w:rFonts w:eastAsia="宋体" w:cs="Arial"/>
          <w:color w:val="252525"/>
          <w:sz w:val="24"/>
          <w:szCs w:val="24"/>
          <w:lang w:eastAsia="zh-CN"/>
        </w:rPr>
        <w:t>)</w:t>
      </w:r>
    </w:p>
    <w:p w14:paraId="58FB8B3F" w14:textId="46BCFE47" w:rsidR="005B46FE" w:rsidRPr="0053577B" w:rsidRDefault="005B46FE" w:rsidP="0053577B">
      <w:pPr>
        <w:tabs>
          <w:tab w:val="left" w:pos="420"/>
        </w:tabs>
        <w:snapToGrid w:val="0"/>
        <w:jc w:val="both"/>
        <w:rPr>
          <w:sz w:val="24"/>
          <w:szCs w:val="24"/>
        </w:rPr>
      </w:pPr>
      <w:r w:rsidRPr="0053577B">
        <w:rPr>
          <w:sz w:val="24"/>
          <w:szCs w:val="24"/>
        </w:rPr>
        <w:t>Therefore, there might have few possible reasons that lead to no significant differen</w:t>
      </w:r>
      <w:r w:rsidR="004C116B" w:rsidRPr="0053577B">
        <w:rPr>
          <w:sz w:val="24"/>
          <w:szCs w:val="24"/>
        </w:rPr>
        <w:t>t of the result in this study. It might was because 6 weeks were</w:t>
      </w:r>
      <w:r w:rsidRPr="0053577B">
        <w:rPr>
          <w:sz w:val="24"/>
          <w:szCs w:val="24"/>
        </w:rPr>
        <w:t xml:space="preserve"> not sufficient to distur</w:t>
      </w:r>
      <w:r w:rsidR="004C116B" w:rsidRPr="0053577B">
        <w:rPr>
          <w:sz w:val="24"/>
          <w:szCs w:val="24"/>
        </w:rPr>
        <w:t xml:space="preserve">b the ganglia in rat brain. It </w:t>
      </w:r>
      <w:r w:rsidRPr="0053577B">
        <w:rPr>
          <w:sz w:val="24"/>
          <w:szCs w:val="24"/>
        </w:rPr>
        <w:t xml:space="preserve">might </w:t>
      </w:r>
      <w:r w:rsidR="004C116B" w:rsidRPr="0053577B">
        <w:rPr>
          <w:sz w:val="24"/>
          <w:szCs w:val="24"/>
        </w:rPr>
        <w:t>was considering as ample</w:t>
      </w:r>
      <w:r w:rsidRPr="0053577B">
        <w:rPr>
          <w:sz w:val="24"/>
          <w:szCs w:val="24"/>
        </w:rPr>
        <w:t xml:space="preserve"> expression of Gria3 gene in ganglia cells, which may not generate th</w:t>
      </w:r>
      <w:r w:rsidR="004C116B" w:rsidRPr="0053577B">
        <w:rPr>
          <w:sz w:val="24"/>
          <w:szCs w:val="24"/>
        </w:rPr>
        <w:t>e significant reduction. And it</w:t>
      </w:r>
      <w:r w:rsidRPr="0053577B">
        <w:rPr>
          <w:sz w:val="24"/>
          <w:szCs w:val="24"/>
        </w:rPr>
        <w:t xml:space="preserve"> might</w:t>
      </w:r>
      <w:r w:rsidR="004C116B" w:rsidRPr="0053577B">
        <w:rPr>
          <w:sz w:val="24"/>
          <w:szCs w:val="24"/>
        </w:rPr>
        <w:t xml:space="preserve"> was</w:t>
      </w:r>
      <w:r w:rsidRPr="0053577B">
        <w:rPr>
          <w:sz w:val="24"/>
          <w:szCs w:val="24"/>
        </w:rPr>
        <w:t xml:space="preserve"> because dorsal root ganglia had been used in this study </w:t>
      </w:r>
      <w:r w:rsidR="004C116B" w:rsidRPr="0053577B">
        <w:rPr>
          <w:sz w:val="24"/>
          <w:szCs w:val="24"/>
        </w:rPr>
        <w:t>may not adequate for investigating</w:t>
      </w:r>
      <w:r w:rsidRPr="0053577B">
        <w:rPr>
          <w:sz w:val="24"/>
          <w:szCs w:val="24"/>
        </w:rPr>
        <w:t xml:space="preserve"> Gria</w:t>
      </w:r>
      <w:r w:rsidR="004C116B" w:rsidRPr="0053577B">
        <w:rPr>
          <w:sz w:val="24"/>
          <w:szCs w:val="24"/>
        </w:rPr>
        <w:t xml:space="preserve">3 gene expression in this study. </w:t>
      </w:r>
      <w:r w:rsidRPr="0053577B">
        <w:rPr>
          <w:sz w:val="24"/>
          <w:szCs w:val="24"/>
        </w:rPr>
        <w:t xml:space="preserve">Besides, GluR3 used as probe for </w:t>
      </w:r>
      <w:proofErr w:type="spellStart"/>
      <w:r w:rsidRPr="0053577B">
        <w:rPr>
          <w:sz w:val="24"/>
          <w:szCs w:val="24"/>
        </w:rPr>
        <w:t>qPCR</w:t>
      </w:r>
      <w:proofErr w:type="spellEnd"/>
      <w:r w:rsidRPr="0053577B">
        <w:rPr>
          <w:sz w:val="24"/>
          <w:szCs w:val="24"/>
        </w:rPr>
        <w:t xml:space="preserve"> method in this study, and imprecise pipetting might bring the unreliable result.</w:t>
      </w:r>
    </w:p>
    <w:p w14:paraId="4519D5DD" w14:textId="097D8398" w:rsidR="005B46FE" w:rsidRPr="0053577B" w:rsidRDefault="004C116B" w:rsidP="0053577B">
      <w:pPr>
        <w:tabs>
          <w:tab w:val="left" w:pos="420"/>
        </w:tabs>
        <w:snapToGrid w:val="0"/>
        <w:jc w:val="both"/>
        <w:rPr>
          <w:rFonts w:eastAsia="宋体" w:cs="Arial"/>
          <w:color w:val="252525"/>
          <w:sz w:val="24"/>
          <w:szCs w:val="24"/>
          <w:lang w:val="en-US" w:eastAsia="zh-CN"/>
        </w:rPr>
      </w:pPr>
      <w:r w:rsidRPr="0053577B">
        <w:rPr>
          <w:sz w:val="24"/>
          <w:szCs w:val="24"/>
        </w:rPr>
        <w:t>Therefore, since T1D</w:t>
      </w:r>
      <w:r w:rsidR="005B46FE" w:rsidRPr="0053577B">
        <w:rPr>
          <w:sz w:val="24"/>
          <w:szCs w:val="24"/>
        </w:rPr>
        <w:t xml:space="preserve"> </w:t>
      </w:r>
      <w:r w:rsidRPr="0053577B">
        <w:rPr>
          <w:sz w:val="24"/>
          <w:szCs w:val="24"/>
        </w:rPr>
        <w:t xml:space="preserve">could </w:t>
      </w:r>
      <w:r w:rsidR="005B46FE" w:rsidRPr="0053577B">
        <w:rPr>
          <w:sz w:val="24"/>
          <w:szCs w:val="24"/>
        </w:rPr>
        <w:t>accelerate the cognitive and mental impairment that is high relate to the expression of Gria3 gene, further inves</w:t>
      </w:r>
      <w:r w:rsidRPr="0053577B">
        <w:rPr>
          <w:sz w:val="24"/>
          <w:szCs w:val="24"/>
        </w:rPr>
        <w:t xml:space="preserve">tigation need to be considered. </w:t>
      </w:r>
      <w:r w:rsidR="005B46FE" w:rsidRPr="0053577B">
        <w:rPr>
          <w:sz w:val="24"/>
          <w:szCs w:val="24"/>
        </w:rPr>
        <w:t xml:space="preserve">In the future </w:t>
      </w:r>
      <w:r w:rsidRPr="0053577B">
        <w:rPr>
          <w:sz w:val="24"/>
          <w:szCs w:val="24"/>
        </w:rPr>
        <w:t>direction, long-</w:t>
      </w:r>
      <w:r w:rsidR="005B46FE" w:rsidRPr="0053577B">
        <w:rPr>
          <w:sz w:val="24"/>
          <w:szCs w:val="24"/>
        </w:rPr>
        <w:t>term chronic STZ-T1D rat</w:t>
      </w:r>
      <w:r w:rsidRPr="0053577B">
        <w:rPr>
          <w:sz w:val="24"/>
          <w:szCs w:val="24"/>
        </w:rPr>
        <w:t>s</w:t>
      </w:r>
      <w:r w:rsidR="005B46FE" w:rsidRPr="0053577B">
        <w:rPr>
          <w:sz w:val="24"/>
          <w:szCs w:val="24"/>
        </w:rPr>
        <w:t xml:space="preserve"> need to be generated to examine the long-term effect on Gria3 gene expression in brain, which might enhance the possibility of </w:t>
      </w:r>
      <w:proofErr w:type="spellStart"/>
      <w:r w:rsidR="005B46FE" w:rsidRPr="0053577B">
        <w:rPr>
          <w:sz w:val="24"/>
          <w:szCs w:val="24"/>
        </w:rPr>
        <w:t>microangiopathy</w:t>
      </w:r>
      <w:proofErr w:type="spellEnd"/>
      <w:r w:rsidR="005B46FE" w:rsidRPr="0053577B">
        <w:rPr>
          <w:sz w:val="24"/>
          <w:szCs w:val="24"/>
        </w:rPr>
        <w:t xml:space="preserve"> complications risk in T1D rat</w:t>
      </w:r>
      <w:r w:rsidRPr="0053577B">
        <w:rPr>
          <w:sz w:val="24"/>
          <w:szCs w:val="24"/>
        </w:rPr>
        <w:t>s</w:t>
      </w:r>
      <w:r w:rsidR="005B46FE" w:rsidRPr="0053577B">
        <w:rPr>
          <w:sz w:val="24"/>
          <w:szCs w:val="24"/>
        </w:rPr>
        <w:t xml:space="preserve">, and might increase the risk of damage of brain. And also need to investigate the effect of the long-term </w:t>
      </w:r>
      <w:proofErr w:type="spellStart"/>
      <w:r w:rsidR="005B46FE" w:rsidRPr="0053577B">
        <w:rPr>
          <w:sz w:val="24"/>
          <w:szCs w:val="24"/>
        </w:rPr>
        <w:t>hyperglycemia</w:t>
      </w:r>
      <w:proofErr w:type="spellEnd"/>
      <w:r w:rsidR="005B46FE" w:rsidRPr="0053577B">
        <w:rPr>
          <w:sz w:val="24"/>
          <w:szCs w:val="24"/>
        </w:rPr>
        <w:t xml:space="preserve"> without </w:t>
      </w:r>
      <w:proofErr w:type="spellStart"/>
      <w:r w:rsidR="005B46FE" w:rsidRPr="0053577B">
        <w:rPr>
          <w:sz w:val="24"/>
          <w:szCs w:val="24"/>
        </w:rPr>
        <w:t>microangiopathy</w:t>
      </w:r>
      <w:proofErr w:type="spellEnd"/>
      <w:r w:rsidR="005B46FE" w:rsidRPr="0053577B">
        <w:rPr>
          <w:sz w:val="24"/>
          <w:szCs w:val="24"/>
        </w:rPr>
        <w:t xml:space="preserve"> on the expression of Gria3 gene in brain. Meanwhile, the brain sample would not only collect </w:t>
      </w:r>
      <w:r w:rsidR="005B46FE" w:rsidRPr="0053577B">
        <w:rPr>
          <w:rFonts w:eastAsia="宋体" w:cs="Arial"/>
          <w:color w:val="252525"/>
          <w:sz w:val="24"/>
          <w:szCs w:val="24"/>
          <w:lang w:eastAsia="zh-CN"/>
        </w:rPr>
        <w:t>dorsal root ganglion, but also analysis the other part of brain su</w:t>
      </w:r>
      <w:r w:rsidR="00DA664D" w:rsidRPr="0053577B">
        <w:rPr>
          <w:rFonts w:eastAsia="宋体" w:cs="Arial"/>
          <w:color w:val="252525"/>
          <w:sz w:val="24"/>
          <w:szCs w:val="24"/>
          <w:lang w:eastAsia="zh-CN"/>
        </w:rPr>
        <w:t xml:space="preserve">ch as </w:t>
      </w:r>
      <w:proofErr w:type="spellStart"/>
      <w:r w:rsidR="00DA664D" w:rsidRPr="0053577B">
        <w:rPr>
          <w:rFonts w:eastAsia="宋体" w:cs="Arial"/>
          <w:color w:val="252525"/>
          <w:sz w:val="24"/>
          <w:szCs w:val="24"/>
          <w:lang w:eastAsia="zh-CN"/>
        </w:rPr>
        <w:t>neocortex</w:t>
      </w:r>
      <w:proofErr w:type="spellEnd"/>
      <w:r w:rsidR="00DA664D" w:rsidRPr="0053577B">
        <w:rPr>
          <w:rFonts w:eastAsia="宋体" w:cs="Arial"/>
          <w:color w:val="252525"/>
          <w:sz w:val="24"/>
          <w:szCs w:val="24"/>
          <w:lang w:eastAsia="zh-CN"/>
        </w:rPr>
        <w:t xml:space="preserve">, hippocampus </w:t>
      </w:r>
      <w:r w:rsidR="008715FD">
        <w:rPr>
          <w:rFonts w:eastAsia="宋体" w:cs="Arial"/>
          <w:color w:val="252525"/>
          <w:sz w:val="24"/>
          <w:szCs w:val="24"/>
          <w:lang w:eastAsia="zh-CN"/>
        </w:rPr>
        <w:t>(</w:t>
      </w:r>
      <w:r w:rsidR="00DA664D" w:rsidRPr="0053577B">
        <w:rPr>
          <w:rFonts w:eastAsia="宋体" w:cs="Arial"/>
          <w:color w:val="262626"/>
          <w:sz w:val="24"/>
          <w:szCs w:val="24"/>
          <w:lang w:eastAsia="zh-CN"/>
        </w:rPr>
        <w:t xml:space="preserve">Breese </w:t>
      </w:r>
      <w:r w:rsidR="008715FD">
        <w:rPr>
          <w:rFonts w:eastAsia="宋体" w:cs="Arial"/>
          <w:color w:val="262626"/>
          <w:sz w:val="24"/>
          <w:szCs w:val="24"/>
          <w:lang w:eastAsia="zh-CN"/>
        </w:rPr>
        <w:t>et al.</w:t>
      </w:r>
      <w:r w:rsidR="00DA664D" w:rsidRPr="0053577B">
        <w:rPr>
          <w:rFonts w:eastAsia="宋体" w:cs="Arial"/>
          <w:color w:val="262626"/>
          <w:sz w:val="24"/>
          <w:szCs w:val="24"/>
          <w:lang w:eastAsia="zh-CN"/>
        </w:rPr>
        <w:t>, 1996</w:t>
      </w:r>
      <w:r w:rsidR="008715FD">
        <w:rPr>
          <w:rFonts w:eastAsia="宋体" w:cs="Arial"/>
          <w:color w:val="252525"/>
          <w:sz w:val="24"/>
          <w:szCs w:val="24"/>
          <w:lang w:eastAsia="zh-CN"/>
        </w:rPr>
        <w:t>)</w:t>
      </w:r>
      <w:r w:rsidR="001B15D7">
        <w:rPr>
          <w:rFonts w:eastAsia="宋体" w:cs="Arial"/>
          <w:color w:val="252525"/>
          <w:sz w:val="24"/>
          <w:szCs w:val="24"/>
          <w:lang w:eastAsia="zh-CN"/>
        </w:rPr>
        <w:t xml:space="preserve"> </w:t>
      </w:r>
      <w:r w:rsidR="008715FD">
        <w:rPr>
          <w:rFonts w:eastAsia="宋体" w:cs="Arial"/>
          <w:color w:val="252525"/>
          <w:sz w:val="24"/>
          <w:szCs w:val="24"/>
          <w:lang w:eastAsia="zh-CN"/>
        </w:rPr>
        <w:t>(</w:t>
      </w:r>
      <w:proofErr w:type="spellStart"/>
      <w:r w:rsidR="00DA664D" w:rsidRPr="0053577B">
        <w:rPr>
          <w:rFonts w:eastAsia="宋体" w:cs="Verdana"/>
          <w:color w:val="262626"/>
          <w:sz w:val="24"/>
          <w:szCs w:val="24"/>
          <w:lang w:eastAsia="zh-CN"/>
        </w:rPr>
        <w:t>Pellegrini-Giampietro</w:t>
      </w:r>
      <w:proofErr w:type="spellEnd"/>
      <w:r w:rsidR="00DA664D" w:rsidRPr="0053577B">
        <w:rPr>
          <w:rFonts w:eastAsia="宋体" w:cs="Verdana"/>
          <w:color w:val="262626"/>
          <w:sz w:val="24"/>
          <w:szCs w:val="24"/>
          <w:lang w:eastAsia="zh-CN"/>
        </w:rPr>
        <w:t xml:space="preserve"> </w:t>
      </w:r>
      <w:r w:rsidR="008715FD">
        <w:rPr>
          <w:rFonts w:eastAsia="宋体" w:cs="Verdana"/>
          <w:color w:val="262626"/>
          <w:sz w:val="24"/>
          <w:szCs w:val="24"/>
          <w:lang w:eastAsia="zh-CN"/>
        </w:rPr>
        <w:t>et al.</w:t>
      </w:r>
      <w:r w:rsidR="00DA664D" w:rsidRPr="0053577B">
        <w:rPr>
          <w:rFonts w:eastAsia="宋体" w:cs="Verdana"/>
          <w:color w:val="262626"/>
          <w:sz w:val="24"/>
          <w:szCs w:val="24"/>
          <w:lang w:eastAsia="zh-CN"/>
        </w:rPr>
        <w:t>, 1991</w:t>
      </w:r>
      <w:r w:rsidR="008715FD">
        <w:rPr>
          <w:rFonts w:eastAsia="宋体" w:cs="Arial"/>
          <w:color w:val="252525"/>
          <w:sz w:val="24"/>
          <w:szCs w:val="24"/>
          <w:lang w:eastAsia="zh-CN"/>
        </w:rPr>
        <w:t>)</w:t>
      </w:r>
      <w:r w:rsidR="005B46FE" w:rsidRPr="0053577B">
        <w:rPr>
          <w:rFonts w:eastAsia="宋体" w:cs="Arial"/>
          <w:color w:val="252525"/>
          <w:sz w:val="24"/>
          <w:szCs w:val="24"/>
          <w:lang w:eastAsia="zh-CN"/>
        </w:rPr>
        <w:t>.</w:t>
      </w:r>
      <w:r w:rsidR="00852C3C" w:rsidRPr="0053577B">
        <w:rPr>
          <w:rFonts w:eastAsia="宋体" w:cs="Arial"/>
          <w:color w:val="252525"/>
          <w:sz w:val="24"/>
          <w:szCs w:val="24"/>
          <w:lang w:eastAsia="zh-CN"/>
        </w:rPr>
        <w:t xml:space="preserve"> </w:t>
      </w:r>
      <w:r w:rsidR="00852C3C" w:rsidRPr="0053577B">
        <w:rPr>
          <w:rFonts w:eastAsia="宋体" w:cs="Arial"/>
          <w:color w:val="252525"/>
          <w:sz w:val="24"/>
          <w:szCs w:val="24"/>
          <w:lang w:val="en-US" w:eastAsia="zh-CN"/>
        </w:rPr>
        <w:t>In addition, since only 3 healthy rat brain samples and 3 STZ-T1D rat brain samples had been used in this study, which may need more samples to improve the accurate, and decrease the variability.</w:t>
      </w:r>
    </w:p>
    <w:p w14:paraId="07F624D6" w14:textId="30287E69" w:rsidR="004C116B" w:rsidRPr="0053577B" w:rsidRDefault="005B46FE" w:rsidP="0053577B">
      <w:pPr>
        <w:snapToGrid w:val="0"/>
        <w:jc w:val="both"/>
        <w:rPr>
          <w:rFonts w:eastAsia="宋体" w:cs="Arial"/>
          <w:color w:val="252525"/>
          <w:sz w:val="24"/>
          <w:szCs w:val="24"/>
          <w:lang w:eastAsia="zh-CN"/>
        </w:rPr>
      </w:pPr>
      <w:r w:rsidRPr="0053577B">
        <w:rPr>
          <w:sz w:val="24"/>
          <w:szCs w:val="24"/>
        </w:rPr>
        <w:t xml:space="preserve">In conclusion, GluR3 expression does not show significant different between healthy rat brain and STZ-T1D rat brain, but GluR3 is essential for the cognitive progression and neural network in brain, which mean it need to further investigate whether diabetes could affect the GluR3 expression or not, as diabetes can disrupt the </w:t>
      </w:r>
      <w:proofErr w:type="spellStart"/>
      <w:r w:rsidRPr="0053577B">
        <w:rPr>
          <w:rFonts w:eastAsia="宋体" w:cs="Arial"/>
          <w:color w:val="252525"/>
          <w:sz w:val="24"/>
          <w:szCs w:val="24"/>
          <w:lang w:eastAsia="zh-CN"/>
        </w:rPr>
        <w:t>glutamatergic</w:t>
      </w:r>
      <w:proofErr w:type="spellEnd"/>
      <w:r w:rsidRPr="0053577B">
        <w:rPr>
          <w:rFonts w:eastAsia="宋体" w:cs="Arial"/>
          <w:color w:val="252525"/>
          <w:sz w:val="24"/>
          <w:szCs w:val="24"/>
          <w:lang w:eastAsia="zh-CN"/>
        </w:rPr>
        <w:t xml:space="preserve"> signal transduction.</w:t>
      </w:r>
    </w:p>
    <w:p w14:paraId="47AECDF8" w14:textId="0558562E" w:rsidR="00404A16" w:rsidRPr="0053577B" w:rsidRDefault="00404A16" w:rsidP="0053577B">
      <w:pPr>
        <w:snapToGrid w:val="0"/>
        <w:jc w:val="both"/>
        <w:rPr>
          <w:sz w:val="24"/>
          <w:szCs w:val="24"/>
          <w:u w:val="single"/>
        </w:rPr>
      </w:pPr>
      <w:r w:rsidRPr="0053577B">
        <w:rPr>
          <w:sz w:val="24"/>
          <w:szCs w:val="24"/>
          <w:u w:val="single"/>
        </w:rPr>
        <w:lastRenderedPageBreak/>
        <w:t>Reference</w:t>
      </w:r>
    </w:p>
    <w:p w14:paraId="18208D92" w14:textId="2F3E88CD" w:rsidR="00404A16" w:rsidRPr="0053577B" w:rsidRDefault="00043197" w:rsidP="0053577B">
      <w:pPr>
        <w:pStyle w:val="a9"/>
        <w:numPr>
          <w:ilvl w:val="0"/>
          <w:numId w:val="1"/>
        </w:numPr>
        <w:autoSpaceDE w:val="0"/>
        <w:autoSpaceDN w:val="0"/>
        <w:adjustRightInd w:val="0"/>
        <w:snapToGrid w:val="0"/>
        <w:spacing w:after="240"/>
        <w:ind w:firstLineChars="0"/>
        <w:jc w:val="both"/>
        <w:rPr>
          <w:rFonts w:eastAsia="宋体" w:cs="Times"/>
          <w:sz w:val="24"/>
          <w:szCs w:val="24"/>
          <w:lang w:eastAsia="zh-CN"/>
        </w:rPr>
      </w:pPr>
      <w:r w:rsidRPr="0053577B">
        <w:rPr>
          <w:rFonts w:cs="Times"/>
          <w:color w:val="262626"/>
          <w:sz w:val="24"/>
          <w:szCs w:val="24"/>
          <w:lang w:val="en-US"/>
        </w:rPr>
        <w:t xml:space="preserve">Belle, T., </w:t>
      </w:r>
      <w:proofErr w:type="spellStart"/>
      <w:r w:rsidRPr="0053577B">
        <w:rPr>
          <w:rFonts w:cs="Times"/>
          <w:color w:val="262626"/>
          <w:sz w:val="24"/>
          <w:szCs w:val="24"/>
          <w:lang w:val="en-US"/>
        </w:rPr>
        <w:t>Coppieters</w:t>
      </w:r>
      <w:proofErr w:type="spellEnd"/>
      <w:r w:rsidRPr="0053577B">
        <w:rPr>
          <w:rFonts w:cs="Times"/>
          <w:color w:val="262626"/>
          <w:sz w:val="24"/>
          <w:szCs w:val="24"/>
          <w:lang w:val="en-US"/>
        </w:rPr>
        <w:t xml:space="preserve">, K., &amp; </w:t>
      </w:r>
      <w:proofErr w:type="spellStart"/>
      <w:r w:rsidRPr="0053577B">
        <w:rPr>
          <w:rFonts w:cs="Times"/>
          <w:color w:val="262626"/>
          <w:sz w:val="24"/>
          <w:szCs w:val="24"/>
          <w:lang w:val="en-US"/>
        </w:rPr>
        <w:t>Herrath</w:t>
      </w:r>
      <w:proofErr w:type="spellEnd"/>
      <w:r w:rsidRPr="0053577B">
        <w:rPr>
          <w:rFonts w:cs="Times"/>
          <w:color w:val="262626"/>
          <w:sz w:val="24"/>
          <w:szCs w:val="24"/>
          <w:lang w:val="en-US"/>
        </w:rPr>
        <w:t xml:space="preserve">, M. (2011). Type </w:t>
      </w:r>
      <w:proofErr w:type="gramStart"/>
      <w:r w:rsidRPr="0053577B">
        <w:rPr>
          <w:rFonts w:cs="Times"/>
          <w:color w:val="262626"/>
          <w:sz w:val="24"/>
          <w:szCs w:val="24"/>
          <w:lang w:val="en-US"/>
        </w:rPr>
        <w:t>1 Diabetes</w:t>
      </w:r>
      <w:proofErr w:type="gramEnd"/>
      <w:r w:rsidRPr="0053577B">
        <w:rPr>
          <w:rFonts w:cs="Times"/>
          <w:color w:val="262626"/>
          <w:sz w:val="24"/>
          <w:szCs w:val="24"/>
          <w:lang w:val="en-US"/>
        </w:rPr>
        <w:t xml:space="preserve">: Etiology, Immunology, and Therapeutic Strategies. </w:t>
      </w:r>
      <w:r w:rsidRPr="0053577B">
        <w:rPr>
          <w:rFonts w:cs="Times"/>
          <w:i/>
          <w:iCs/>
          <w:color w:val="262626"/>
          <w:sz w:val="24"/>
          <w:szCs w:val="24"/>
          <w:lang w:val="en-US"/>
        </w:rPr>
        <w:t>Physiological Reviews,</w:t>
      </w:r>
      <w:r w:rsidRPr="0053577B">
        <w:rPr>
          <w:rFonts w:cs="Times"/>
          <w:color w:val="262626"/>
          <w:sz w:val="24"/>
          <w:szCs w:val="24"/>
          <w:lang w:val="en-US"/>
        </w:rPr>
        <w:t xml:space="preserve"> 91, 79-118.</w:t>
      </w:r>
    </w:p>
    <w:p w14:paraId="29847E7B" w14:textId="77777777" w:rsidR="00043197" w:rsidRPr="0053577B" w:rsidRDefault="00043197" w:rsidP="0053577B">
      <w:pPr>
        <w:pStyle w:val="a9"/>
        <w:numPr>
          <w:ilvl w:val="0"/>
          <w:numId w:val="1"/>
        </w:numPr>
        <w:autoSpaceDE w:val="0"/>
        <w:autoSpaceDN w:val="0"/>
        <w:adjustRightInd w:val="0"/>
        <w:snapToGrid w:val="0"/>
        <w:spacing w:after="240"/>
        <w:ind w:firstLineChars="0"/>
        <w:jc w:val="both"/>
        <w:rPr>
          <w:rFonts w:eastAsia="宋体" w:cs="Cambria"/>
          <w:sz w:val="24"/>
          <w:szCs w:val="24"/>
          <w:lang w:eastAsia="zh-CN"/>
        </w:rPr>
      </w:pPr>
      <w:r w:rsidRPr="0053577B">
        <w:rPr>
          <w:rFonts w:cs="Times"/>
          <w:color w:val="262626"/>
          <w:sz w:val="24"/>
          <w:szCs w:val="24"/>
          <w:lang w:val="en-US"/>
        </w:rPr>
        <w:t xml:space="preserve">Atkinson, M. (2012). The Pathogenesis and Natural History of Type </w:t>
      </w:r>
      <w:proofErr w:type="gramStart"/>
      <w:r w:rsidRPr="0053577B">
        <w:rPr>
          <w:rFonts w:cs="Times"/>
          <w:color w:val="262626"/>
          <w:sz w:val="24"/>
          <w:szCs w:val="24"/>
          <w:lang w:val="en-US"/>
        </w:rPr>
        <w:t>1 Diabetes</w:t>
      </w:r>
      <w:proofErr w:type="gramEnd"/>
      <w:r w:rsidRPr="0053577B">
        <w:rPr>
          <w:rFonts w:cs="Times"/>
          <w:color w:val="262626"/>
          <w:sz w:val="24"/>
          <w:szCs w:val="24"/>
          <w:lang w:val="en-US"/>
        </w:rPr>
        <w:t xml:space="preserve">. </w:t>
      </w:r>
      <w:r w:rsidRPr="0053577B">
        <w:rPr>
          <w:rFonts w:cs="Times"/>
          <w:i/>
          <w:iCs/>
          <w:color w:val="262626"/>
          <w:sz w:val="24"/>
          <w:szCs w:val="24"/>
          <w:lang w:val="en-US"/>
        </w:rPr>
        <w:t>Cold Spring Harbor Perspectives in Medicine,</w:t>
      </w:r>
      <w:r w:rsidRPr="0053577B">
        <w:rPr>
          <w:rFonts w:cs="Times"/>
          <w:color w:val="262626"/>
          <w:sz w:val="24"/>
          <w:szCs w:val="24"/>
          <w:lang w:val="en-US"/>
        </w:rPr>
        <w:t xml:space="preserve"> A007641-A007641.</w:t>
      </w:r>
    </w:p>
    <w:p w14:paraId="7C873B3C" w14:textId="28EED3A4" w:rsidR="00043197" w:rsidRPr="0053577B" w:rsidRDefault="00043197" w:rsidP="0053577B">
      <w:pPr>
        <w:pStyle w:val="a9"/>
        <w:numPr>
          <w:ilvl w:val="0"/>
          <w:numId w:val="1"/>
        </w:numPr>
        <w:autoSpaceDE w:val="0"/>
        <w:autoSpaceDN w:val="0"/>
        <w:adjustRightInd w:val="0"/>
        <w:snapToGrid w:val="0"/>
        <w:spacing w:after="240"/>
        <w:ind w:firstLineChars="0"/>
        <w:jc w:val="both"/>
        <w:rPr>
          <w:rFonts w:eastAsia="宋体" w:cs="Cambria"/>
          <w:sz w:val="24"/>
          <w:szCs w:val="24"/>
          <w:lang w:eastAsia="zh-CN"/>
        </w:rPr>
      </w:pPr>
      <w:proofErr w:type="spellStart"/>
      <w:r w:rsidRPr="0053577B">
        <w:rPr>
          <w:rFonts w:cs="Times"/>
          <w:color w:val="262626"/>
          <w:sz w:val="24"/>
          <w:szCs w:val="24"/>
          <w:lang w:val="en-US"/>
        </w:rPr>
        <w:t>Schock</w:t>
      </w:r>
      <w:proofErr w:type="spellEnd"/>
      <w:r w:rsidRPr="0053577B">
        <w:rPr>
          <w:rFonts w:cs="Times"/>
          <w:color w:val="262626"/>
          <w:sz w:val="24"/>
          <w:szCs w:val="24"/>
          <w:lang w:val="en-US"/>
        </w:rPr>
        <w:t xml:space="preserve">-Kusch, D., </w:t>
      </w:r>
      <w:proofErr w:type="spellStart"/>
      <w:r w:rsidRPr="0053577B">
        <w:rPr>
          <w:rFonts w:cs="Times"/>
          <w:color w:val="262626"/>
          <w:sz w:val="24"/>
          <w:szCs w:val="24"/>
          <w:lang w:val="en-US"/>
        </w:rPr>
        <w:t>Sadick</w:t>
      </w:r>
      <w:proofErr w:type="spellEnd"/>
      <w:r w:rsidRPr="0053577B">
        <w:rPr>
          <w:rFonts w:cs="Times"/>
          <w:color w:val="262626"/>
          <w:sz w:val="24"/>
          <w:szCs w:val="24"/>
          <w:lang w:val="en-US"/>
        </w:rPr>
        <w:t xml:space="preserve">, M., </w:t>
      </w:r>
      <w:proofErr w:type="spellStart"/>
      <w:r w:rsidRPr="0053577B">
        <w:rPr>
          <w:rFonts w:cs="Times"/>
          <w:color w:val="262626"/>
          <w:sz w:val="24"/>
          <w:szCs w:val="24"/>
          <w:lang w:val="en-US"/>
        </w:rPr>
        <w:t>Henninger</w:t>
      </w:r>
      <w:proofErr w:type="spellEnd"/>
      <w:r w:rsidRPr="0053577B">
        <w:rPr>
          <w:rFonts w:cs="Times"/>
          <w:color w:val="262626"/>
          <w:sz w:val="24"/>
          <w:szCs w:val="24"/>
          <w:lang w:val="en-US"/>
        </w:rPr>
        <w:t xml:space="preserve">, N., </w:t>
      </w:r>
      <w:proofErr w:type="spellStart"/>
      <w:r w:rsidRPr="0053577B">
        <w:rPr>
          <w:rFonts w:cs="Times"/>
          <w:color w:val="262626"/>
          <w:sz w:val="24"/>
          <w:szCs w:val="24"/>
          <w:lang w:val="en-US"/>
        </w:rPr>
        <w:t>Kraenzlin</w:t>
      </w:r>
      <w:proofErr w:type="spellEnd"/>
      <w:r w:rsidRPr="0053577B">
        <w:rPr>
          <w:rFonts w:cs="Times"/>
          <w:color w:val="262626"/>
          <w:sz w:val="24"/>
          <w:szCs w:val="24"/>
          <w:lang w:val="en-US"/>
        </w:rPr>
        <w:t xml:space="preserve">, B., Claus, G., </w:t>
      </w:r>
      <w:proofErr w:type="spellStart"/>
      <w:r w:rsidRPr="0053577B">
        <w:rPr>
          <w:rFonts w:cs="Times"/>
          <w:color w:val="262626"/>
          <w:sz w:val="24"/>
          <w:szCs w:val="24"/>
          <w:lang w:val="en-US"/>
        </w:rPr>
        <w:t>Kloetzer</w:t>
      </w:r>
      <w:proofErr w:type="spellEnd"/>
      <w:r w:rsidRPr="0053577B">
        <w:rPr>
          <w:rFonts w:cs="Times"/>
          <w:color w:val="262626"/>
          <w:sz w:val="24"/>
          <w:szCs w:val="24"/>
          <w:lang w:val="en-US"/>
        </w:rPr>
        <w:t xml:space="preserve">, H., ... </w:t>
      </w:r>
      <w:proofErr w:type="spellStart"/>
      <w:r w:rsidRPr="0053577B">
        <w:rPr>
          <w:rFonts w:cs="Times"/>
          <w:color w:val="262626"/>
          <w:sz w:val="24"/>
          <w:szCs w:val="24"/>
          <w:lang w:val="en-US"/>
        </w:rPr>
        <w:t>Gretz</w:t>
      </w:r>
      <w:proofErr w:type="spellEnd"/>
      <w:r w:rsidRPr="0053577B">
        <w:rPr>
          <w:rFonts w:cs="Times"/>
          <w:color w:val="262626"/>
          <w:sz w:val="24"/>
          <w:szCs w:val="24"/>
          <w:lang w:val="en-US"/>
        </w:rPr>
        <w:t>, N. (2009). Transcutaneous measurement of glomerular filtration rate using FITC-</w:t>
      </w:r>
      <w:proofErr w:type="spellStart"/>
      <w:r w:rsidRPr="0053577B">
        <w:rPr>
          <w:rFonts w:cs="Times"/>
          <w:color w:val="262626"/>
          <w:sz w:val="24"/>
          <w:szCs w:val="24"/>
          <w:lang w:val="en-US"/>
        </w:rPr>
        <w:t>sinistrin</w:t>
      </w:r>
      <w:proofErr w:type="spellEnd"/>
      <w:r w:rsidRPr="0053577B">
        <w:rPr>
          <w:rFonts w:cs="Times"/>
          <w:color w:val="262626"/>
          <w:sz w:val="24"/>
          <w:szCs w:val="24"/>
          <w:lang w:val="en-US"/>
        </w:rPr>
        <w:t xml:space="preserve"> in rats. </w:t>
      </w:r>
      <w:r w:rsidRPr="0053577B">
        <w:rPr>
          <w:rFonts w:cs="Times"/>
          <w:i/>
          <w:iCs/>
          <w:color w:val="262626"/>
          <w:sz w:val="24"/>
          <w:szCs w:val="24"/>
          <w:lang w:val="en-US"/>
        </w:rPr>
        <w:t>Nephrology Dialysis Transplantation,</w:t>
      </w:r>
      <w:r w:rsidRPr="0053577B">
        <w:rPr>
          <w:rFonts w:cs="Times"/>
          <w:color w:val="262626"/>
          <w:sz w:val="24"/>
          <w:szCs w:val="24"/>
          <w:lang w:val="en-US"/>
        </w:rPr>
        <w:t xml:space="preserve"> </w:t>
      </w:r>
      <w:r w:rsidRPr="0053577B">
        <w:rPr>
          <w:rFonts w:cs="Times"/>
          <w:iCs/>
          <w:color w:val="262626"/>
          <w:sz w:val="24"/>
          <w:szCs w:val="24"/>
          <w:lang w:val="en-US"/>
        </w:rPr>
        <w:t>24</w:t>
      </w:r>
      <w:r w:rsidR="00C74626" w:rsidRPr="0053577B">
        <w:rPr>
          <w:rFonts w:cs="Times"/>
          <w:color w:val="262626"/>
          <w:sz w:val="24"/>
          <w:szCs w:val="24"/>
          <w:lang w:val="en-US"/>
        </w:rPr>
        <w:t xml:space="preserve">(10), </w:t>
      </w:r>
      <w:r w:rsidRPr="0053577B">
        <w:rPr>
          <w:rFonts w:cs="Times"/>
          <w:color w:val="262626"/>
          <w:sz w:val="24"/>
          <w:szCs w:val="24"/>
          <w:lang w:val="en-US"/>
        </w:rPr>
        <w:t>2997-3001.</w:t>
      </w:r>
    </w:p>
    <w:p w14:paraId="3994F148" w14:textId="66FC1A23" w:rsidR="00404A16" w:rsidRPr="0053577B" w:rsidRDefault="00043197" w:rsidP="0053577B">
      <w:pPr>
        <w:pStyle w:val="a9"/>
        <w:numPr>
          <w:ilvl w:val="0"/>
          <w:numId w:val="1"/>
        </w:numPr>
        <w:autoSpaceDE w:val="0"/>
        <w:autoSpaceDN w:val="0"/>
        <w:adjustRightInd w:val="0"/>
        <w:snapToGrid w:val="0"/>
        <w:spacing w:after="240"/>
        <w:ind w:firstLineChars="0"/>
        <w:jc w:val="both"/>
        <w:rPr>
          <w:rFonts w:eastAsia="宋体" w:cs="Cambria"/>
          <w:sz w:val="24"/>
          <w:szCs w:val="24"/>
          <w:lang w:eastAsia="zh-CN"/>
        </w:rPr>
      </w:pPr>
      <w:r w:rsidRPr="0053577B">
        <w:rPr>
          <w:rFonts w:cs="Times"/>
          <w:color w:val="262626"/>
          <w:sz w:val="24"/>
          <w:szCs w:val="24"/>
          <w:lang w:val="en-US"/>
        </w:rPr>
        <w:t xml:space="preserve">Chao, E., &amp; Henry, R. (2010). SGLT2 Inhibition — A Novel Strategy For Diabetes Treatment. </w:t>
      </w:r>
      <w:r w:rsidRPr="0053577B">
        <w:rPr>
          <w:rFonts w:cs="Times"/>
          <w:i/>
          <w:iCs/>
          <w:color w:val="262626"/>
          <w:sz w:val="24"/>
          <w:szCs w:val="24"/>
          <w:lang w:val="en-US"/>
        </w:rPr>
        <w:t>Nature Reviews Drug Discovery,</w:t>
      </w:r>
      <w:r w:rsidRPr="0053577B">
        <w:rPr>
          <w:rFonts w:cs="Times"/>
          <w:color w:val="262626"/>
          <w:sz w:val="24"/>
          <w:szCs w:val="24"/>
          <w:lang w:val="en-US"/>
        </w:rPr>
        <w:t xml:space="preserve"> 551-559.</w:t>
      </w:r>
    </w:p>
    <w:p w14:paraId="714F277E" w14:textId="4737CEC6" w:rsidR="00404A16" w:rsidRPr="0053577B" w:rsidRDefault="00404A16" w:rsidP="0053577B">
      <w:pPr>
        <w:pStyle w:val="a9"/>
        <w:numPr>
          <w:ilvl w:val="0"/>
          <w:numId w:val="1"/>
        </w:numPr>
        <w:autoSpaceDE w:val="0"/>
        <w:autoSpaceDN w:val="0"/>
        <w:adjustRightInd w:val="0"/>
        <w:snapToGrid w:val="0"/>
        <w:spacing w:after="240"/>
        <w:ind w:firstLineChars="0"/>
        <w:jc w:val="both"/>
        <w:rPr>
          <w:rFonts w:eastAsia="宋体" w:cs="Times"/>
          <w:sz w:val="24"/>
          <w:szCs w:val="24"/>
          <w:lang w:eastAsia="zh-CN"/>
        </w:rPr>
      </w:pPr>
      <w:proofErr w:type="spellStart"/>
      <w:r w:rsidRPr="0053577B">
        <w:rPr>
          <w:rFonts w:eastAsia="宋体" w:cs="Courier"/>
          <w:sz w:val="24"/>
          <w:szCs w:val="24"/>
          <w:lang w:eastAsia="zh-CN"/>
        </w:rPr>
        <w:t>E</w:t>
      </w:r>
      <w:r w:rsidRPr="0053577B">
        <w:rPr>
          <w:rFonts w:eastAsia="宋体" w:cs="Times"/>
          <w:sz w:val="24"/>
          <w:szCs w:val="24"/>
          <w:lang w:eastAsia="zh-CN"/>
        </w:rPr>
        <w:t>elco</w:t>
      </w:r>
      <w:proofErr w:type="spellEnd"/>
      <w:r w:rsidRPr="0053577B">
        <w:rPr>
          <w:rFonts w:eastAsia="宋体" w:cs="Times"/>
          <w:sz w:val="24"/>
          <w:szCs w:val="24"/>
          <w:lang w:eastAsia="zh-CN"/>
        </w:rPr>
        <w:t xml:space="preserve"> VD,</w:t>
      </w:r>
      <w:r w:rsidRPr="0053577B">
        <w:rPr>
          <w:rFonts w:eastAsia="宋体" w:cs="Times"/>
          <w:position w:val="13"/>
          <w:sz w:val="24"/>
          <w:szCs w:val="24"/>
          <w:lang w:eastAsia="zh-CN"/>
        </w:rPr>
        <w:t xml:space="preserve"> </w:t>
      </w:r>
      <w:r w:rsidRPr="0053577B">
        <w:rPr>
          <w:rFonts w:eastAsia="宋体" w:cs="Times"/>
          <w:sz w:val="24"/>
          <w:szCs w:val="24"/>
          <w:lang w:eastAsia="zh-CN"/>
        </w:rPr>
        <w:t>Menno MS,</w:t>
      </w:r>
      <w:r w:rsidRPr="0053577B">
        <w:rPr>
          <w:rFonts w:eastAsia="宋体" w:cs="Times"/>
          <w:position w:val="13"/>
          <w:sz w:val="24"/>
          <w:szCs w:val="24"/>
          <w:lang w:eastAsia="zh-CN"/>
        </w:rPr>
        <w:t xml:space="preserve"> </w:t>
      </w:r>
      <w:r w:rsidRPr="0053577B">
        <w:rPr>
          <w:rFonts w:eastAsia="宋体" w:cs="Times"/>
          <w:sz w:val="24"/>
          <w:szCs w:val="24"/>
          <w:lang w:eastAsia="zh-CN"/>
        </w:rPr>
        <w:t>Ernesto JSA,</w:t>
      </w:r>
      <w:r w:rsidRPr="0053577B">
        <w:rPr>
          <w:rFonts w:eastAsia="宋体" w:cs="Times"/>
          <w:position w:val="13"/>
          <w:sz w:val="24"/>
          <w:szCs w:val="24"/>
          <w:lang w:eastAsia="zh-CN"/>
        </w:rPr>
        <w:t xml:space="preserve"> </w:t>
      </w:r>
      <w:r w:rsidRPr="0053577B">
        <w:rPr>
          <w:rFonts w:eastAsia="宋体" w:cs="Times"/>
          <w:sz w:val="24"/>
          <w:szCs w:val="24"/>
          <w:lang w:eastAsia="zh-CN"/>
        </w:rPr>
        <w:t>Richard GI,</w:t>
      </w:r>
      <w:r w:rsidRPr="0053577B">
        <w:rPr>
          <w:rFonts w:eastAsia="宋体" w:cs="Times"/>
          <w:position w:val="13"/>
          <w:sz w:val="24"/>
          <w:szCs w:val="24"/>
          <w:lang w:eastAsia="zh-CN"/>
        </w:rPr>
        <w:t xml:space="preserve"> </w:t>
      </w:r>
      <w:r w:rsidRPr="0053577B">
        <w:rPr>
          <w:rFonts w:eastAsia="宋体" w:cs="Times"/>
          <w:sz w:val="24"/>
          <w:szCs w:val="24"/>
          <w:lang w:eastAsia="zh-CN"/>
        </w:rPr>
        <w:t>Annette CM,</w:t>
      </w:r>
      <w:r w:rsidRPr="0053577B">
        <w:rPr>
          <w:rFonts w:eastAsia="宋体" w:cs="Times"/>
          <w:position w:val="13"/>
          <w:sz w:val="24"/>
          <w:szCs w:val="24"/>
          <w:lang w:eastAsia="zh-CN"/>
        </w:rPr>
        <w:t xml:space="preserve"> </w:t>
      </w:r>
      <w:r w:rsidRPr="0053577B">
        <w:rPr>
          <w:rFonts w:eastAsia="宋体" w:cs="Times"/>
          <w:sz w:val="24"/>
          <w:szCs w:val="24"/>
          <w:lang w:eastAsia="zh-CN"/>
        </w:rPr>
        <w:t>Frank JS,</w:t>
      </w:r>
      <w:r w:rsidRPr="0053577B">
        <w:rPr>
          <w:rFonts w:eastAsia="宋体" w:cs="Times"/>
          <w:position w:val="13"/>
          <w:sz w:val="24"/>
          <w:szCs w:val="24"/>
          <w:lang w:eastAsia="zh-CN"/>
        </w:rPr>
        <w:t xml:space="preserve"> </w:t>
      </w:r>
      <w:r w:rsidRPr="0053577B">
        <w:rPr>
          <w:rFonts w:eastAsia="宋体" w:cs="Times"/>
          <w:sz w:val="24"/>
          <w:szCs w:val="24"/>
          <w:lang w:eastAsia="zh-CN"/>
        </w:rPr>
        <w:t>Christopher MR, Martin K,</w:t>
      </w:r>
      <w:r w:rsidRPr="0053577B">
        <w:rPr>
          <w:rFonts w:eastAsia="宋体" w:cs="Times"/>
          <w:position w:val="13"/>
          <w:sz w:val="24"/>
          <w:szCs w:val="24"/>
          <w:lang w:eastAsia="zh-CN"/>
        </w:rPr>
        <w:t xml:space="preserve"> </w:t>
      </w:r>
      <w:r w:rsidRPr="0053577B">
        <w:rPr>
          <w:rFonts w:eastAsia="宋体" w:cs="Times"/>
          <w:sz w:val="24"/>
          <w:szCs w:val="24"/>
          <w:lang w:eastAsia="zh-CN"/>
        </w:rPr>
        <w:t>Michaela D,</w:t>
      </w:r>
      <w:r w:rsidRPr="0053577B">
        <w:rPr>
          <w:rFonts w:eastAsia="宋体" w:cs="Times"/>
          <w:position w:val="13"/>
          <w:sz w:val="24"/>
          <w:szCs w:val="24"/>
          <w:lang w:eastAsia="zh-CN"/>
        </w:rPr>
        <w:t xml:space="preserve"> </w:t>
      </w:r>
      <w:r w:rsidR="00C74626" w:rsidRPr="0053577B">
        <w:rPr>
          <w:rFonts w:eastAsia="宋体" w:cs="Times"/>
          <w:sz w:val="24"/>
          <w:szCs w:val="24"/>
          <w:lang w:eastAsia="zh-CN"/>
        </w:rPr>
        <w:t xml:space="preserve">and </w:t>
      </w:r>
      <w:proofErr w:type="spellStart"/>
      <w:r w:rsidR="00C74626" w:rsidRPr="0053577B">
        <w:rPr>
          <w:rFonts w:eastAsia="宋体" w:cs="Times"/>
          <w:sz w:val="24"/>
          <w:szCs w:val="24"/>
          <w:lang w:eastAsia="zh-CN"/>
        </w:rPr>
        <w:t>Frederik</w:t>
      </w:r>
      <w:proofErr w:type="spellEnd"/>
      <w:r w:rsidR="00C74626" w:rsidRPr="0053577B">
        <w:rPr>
          <w:rFonts w:eastAsia="宋体" w:cs="Times"/>
          <w:sz w:val="24"/>
          <w:szCs w:val="24"/>
          <w:lang w:eastAsia="zh-CN"/>
        </w:rPr>
        <w:t xml:space="preserve"> B. (2012).</w:t>
      </w:r>
      <w:r w:rsidRPr="0053577B">
        <w:rPr>
          <w:rFonts w:eastAsia="宋体" w:cs="Times"/>
          <w:sz w:val="24"/>
          <w:szCs w:val="24"/>
          <w:lang w:eastAsia="zh-CN"/>
        </w:rPr>
        <w:t xml:space="preserve"> </w:t>
      </w:r>
      <w:r w:rsidRPr="0053577B">
        <w:rPr>
          <w:sz w:val="24"/>
          <w:szCs w:val="24"/>
        </w:rPr>
        <w:t xml:space="preserve">Resting State Brain Networks in Type 1 Diabetic </w:t>
      </w:r>
      <w:proofErr w:type="gramStart"/>
      <w:r w:rsidRPr="0053577B">
        <w:rPr>
          <w:sz w:val="24"/>
          <w:szCs w:val="24"/>
        </w:rPr>
        <w:t>Patients</w:t>
      </w:r>
      <w:proofErr w:type="gramEnd"/>
      <w:r w:rsidRPr="0053577B">
        <w:rPr>
          <w:sz w:val="24"/>
          <w:szCs w:val="24"/>
        </w:rPr>
        <w:t xml:space="preserve"> With and Without </w:t>
      </w:r>
      <w:proofErr w:type="spellStart"/>
      <w:r w:rsidRPr="0053577B">
        <w:rPr>
          <w:sz w:val="24"/>
          <w:szCs w:val="24"/>
        </w:rPr>
        <w:t>Microangioathy</w:t>
      </w:r>
      <w:proofErr w:type="spellEnd"/>
      <w:r w:rsidRPr="0053577B">
        <w:rPr>
          <w:sz w:val="24"/>
          <w:szCs w:val="24"/>
        </w:rPr>
        <w:t xml:space="preserve"> and Their Relation to Cognitive </w:t>
      </w:r>
      <w:r w:rsidR="00C74626" w:rsidRPr="0053577B">
        <w:rPr>
          <w:sz w:val="24"/>
          <w:szCs w:val="24"/>
        </w:rPr>
        <w:t>Functions and Disease Variables.</w:t>
      </w:r>
      <w:r w:rsidRPr="0053577B">
        <w:rPr>
          <w:i/>
          <w:sz w:val="24"/>
          <w:szCs w:val="24"/>
        </w:rPr>
        <w:t xml:space="preserve"> </w:t>
      </w:r>
      <w:r w:rsidRPr="0053577B">
        <w:rPr>
          <w:rFonts w:eastAsia="宋体" w:cs="Times"/>
          <w:i/>
          <w:sz w:val="24"/>
          <w:szCs w:val="24"/>
          <w:lang w:eastAsia="zh-CN"/>
        </w:rPr>
        <w:t>Diabetes</w:t>
      </w:r>
      <w:r w:rsidR="00C74626" w:rsidRPr="0053577B">
        <w:rPr>
          <w:rFonts w:eastAsia="宋体" w:cs="Times"/>
          <w:sz w:val="24"/>
          <w:szCs w:val="24"/>
          <w:lang w:eastAsia="zh-CN"/>
        </w:rPr>
        <w:t xml:space="preserve">, 61, </w:t>
      </w:r>
      <w:r w:rsidRPr="0053577B">
        <w:rPr>
          <w:rFonts w:eastAsia="宋体" w:cs="Times"/>
          <w:sz w:val="24"/>
          <w:szCs w:val="24"/>
          <w:lang w:eastAsia="zh-CN"/>
        </w:rPr>
        <w:t>1814–1821.</w:t>
      </w:r>
    </w:p>
    <w:p w14:paraId="04AB0DE1" w14:textId="15D91467" w:rsidR="00404A16" w:rsidRPr="0053577B" w:rsidRDefault="00404A16" w:rsidP="0053577B">
      <w:pPr>
        <w:pStyle w:val="a9"/>
        <w:numPr>
          <w:ilvl w:val="0"/>
          <w:numId w:val="1"/>
        </w:numPr>
        <w:autoSpaceDE w:val="0"/>
        <w:autoSpaceDN w:val="0"/>
        <w:adjustRightInd w:val="0"/>
        <w:snapToGrid w:val="0"/>
        <w:spacing w:after="240"/>
        <w:ind w:firstLineChars="0"/>
        <w:jc w:val="both"/>
        <w:rPr>
          <w:rFonts w:eastAsia="宋体" w:cs="Times"/>
          <w:sz w:val="24"/>
          <w:szCs w:val="24"/>
          <w:lang w:eastAsia="zh-CN"/>
        </w:rPr>
      </w:pPr>
      <w:r w:rsidRPr="0053577B">
        <w:rPr>
          <w:rFonts w:eastAsia="宋体" w:cs="Times"/>
          <w:sz w:val="24"/>
          <w:szCs w:val="24"/>
          <w:lang w:eastAsia="zh-CN"/>
        </w:rPr>
        <w:t xml:space="preserve">Fowler IL, </w:t>
      </w:r>
      <w:proofErr w:type="spellStart"/>
      <w:r w:rsidRPr="0053577B">
        <w:rPr>
          <w:rFonts w:eastAsia="宋体" w:cs="Times"/>
          <w:sz w:val="24"/>
          <w:szCs w:val="24"/>
          <w:lang w:eastAsia="zh-CN"/>
        </w:rPr>
        <w:t>Whalley</w:t>
      </w:r>
      <w:proofErr w:type="spellEnd"/>
      <w:r w:rsidRPr="0053577B">
        <w:rPr>
          <w:rFonts w:eastAsia="宋体" w:cs="Times"/>
          <w:sz w:val="24"/>
          <w:szCs w:val="24"/>
          <w:lang w:eastAsia="zh-CN"/>
        </w:rPr>
        <w:t xml:space="preserve"> K, Murr</w:t>
      </w:r>
      <w:r w:rsidR="00C74626" w:rsidRPr="0053577B">
        <w:rPr>
          <w:rFonts w:eastAsia="宋体" w:cs="Times"/>
          <w:sz w:val="24"/>
          <w:szCs w:val="24"/>
          <w:lang w:eastAsia="zh-CN"/>
        </w:rPr>
        <w:t>ay T, O’Neill MJ, &amp; McCulloch J.</w:t>
      </w:r>
      <w:r w:rsidRPr="0053577B">
        <w:rPr>
          <w:rFonts w:eastAsia="宋体" w:cs="Times"/>
          <w:sz w:val="24"/>
          <w:szCs w:val="24"/>
          <w:lang w:eastAsia="zh-CN"/>
        </w:rPr>
        <w:t xml:space="preserve"> </w:t>
      </w:r>
      <w:r w:rsidR="00C74626" w:rsidRPr="0053577B">
        <w:rPr>
          <w:rFonts w:eastAsia="宋体" w:cs="Times"/>
          <w:sz w:val="24"/>
          <w:szCs w:val="24"/>
          <w:lang w:eastAsia="zh-CN"/>
        </w:rPr>
        <w:t xml:space="preserve">(2004). </w:t>
      </w:r>
      <w:r w:rsidRPr="0053577B">
        <w:rPr>
          <w:rFonts w:eastAsia="宋体" w:cs="Times"/>
          <w:sz w:val="24"/>
          <w:szCs w:val="24"/>
          <w:lang w:eastAsia="zh-CN"/>
        </w:rPr>
        <w:t xml:space="preserve">The AMPA receptor </w:t>
      </w:r>
      <w:proofErr w:type="spellStart"/>
      <w:proofErr w:type="gramStart"/>
      <w:r w:rsidRPr="0053577B">
        <w:rPr>
          <w:rFonts w:eastAsia="宋体" w:cs="Times"/>
          <w:sz w:val="24"/>
          <w:szCs w:val="24"/>
          <w:lang w:eastAsia="zh-CN"/>
        </w:rPr>
        <w:t>potentiator</w:t>
      </w:r>
      <w:proofErr w:type="spellEnd"/>
      <w:r w:rsidRPr="0053577B">
        <w:rPr>
          <w:rFonts w:eastAsia="宋体" w:cs="Times"/>
          <w:sz w:val="24"/>
          <w:szCs w:val="24"/>
          <w:lang w:eastAsia="zh-CN"/>
        </w:rPr>
        <w:t xml:space="preserve"> LY404187 increase</w:t>
      </w:r>
      <w:proofErr w:type="gramEnd"/>
      <w:r w:rsidRPr="0053577B">
        <w:rPr>
          <w:rFonts w:eastAsia="宋体" w:cs="Times"/>
          <w:sz w:val="24"/>
          <w:szCs w:val="24"/>
          <w:lang w:eastAsia="zh-CN"/>
        </w:rPr>
        <w:t xml:space="preserve"> cerebral glucose utilization and c-</w:t>
      </w:r>
      <w:proofErr w:type="spellStart"/>
      <w:r w:rsidRPr="0053577B">
        <w:rPr>
          <w:rFonts w:eastAsia="宋体" w:cs="Times"/>
          <w:sz w:val="24"/>
          <w:szCs w:val="24"/>
          <w:lang w:eastAsia="zh-CN"/>
        </w:rPr>
        <w:t>fos</w:t>
      </w:r>
      <w:proofErr w:type="spellEnd"/>
      <w:r w:rsidRPr="0053577B">
        <w:rPr>
          <w:rFonts w:eastAsia="宋体" w:cs="Times"/>
          <w:sz w:val="24"/>
          <w:szCs w:val="24"/>
          <w:lang w:eastAsia="zh-CN"/>
        </w:rPr>
        <w:t xml:space="preserve"> expression in the Rat</w:t>
      </w:r>
      <w:r w:rsidR="00C74626" w:rsidRPr="0053577B">
        <w:rPr>
          <w:rFonts w:eastAsia="宋体" w:cs="Times"/>
          <w:i/>
          <w:sz w:val="24"/>
          <w:szCs w:val="24"/>
          <w:lang w:eastAsia="zh-CN"/>
        </w:rPr>
        <w:t>.</w:t>
      </w:r>
      <w:r w:rsidRPr="0053577B">
        <w:rPr>
          <w:rFonts w:eastAsia="宋体" w:cs="Times"/>
          <w:i/>
          <w:sz w:val="24"/>
          <w:szCs w:val="24"/>
          <w:lang w:eastAsia="zh-CN"/>
        </w:rPr>
        <w:t xml:space="preserve"> </w:t>
      </w:r>
      <w:r w:rsidRPr="0053577B">
        <w:rPr>
          <w:rFonts w:eastAsia="宋体" w:cs="Times"/>
          <w:i/>
          <w:iCs/>
          <w:sz w:val="24"/>
          <w:szCs w:val="24"/>
          <w:lang w:eastAsia="zh-CN"/>
        </w:rPr>
        <w:t>Journal of Cerebral Blood Flow &amp; Metabolism</w:t>
      </w:r>
      <w:r w:rsidR="00C74626" w:rsidRPr="0053577B">
        <w:rPr>
          <w:rFonts w:eastAsia="宋体" w:cs="Times"/>
          <w:sz w:val="24"/>
          <w:szCs w:val="24"/>
          <w:lang w:eastAsia="zh-CN"/>
        </w:rPr>
        <w:t xml:space="preserve">, </w:t>
      </w:r>
      <w:r w:rsidR="00C74626" w:rsidRPr="0053577B">
        <w:rPr>
          <w:rFonts w:eastAsia="宋体" w:cs="Times"/>
          <w:bCs/>
          <w:sz w:val="24"/>
          <w:szCs w:val="24"/>
          <w:lang w:eastAsia="zh-CN"/>
        </w:rPr>
        <w:t xml:space="preserve">24, </w:t>
      </w:r>
      <w:r w:rsidRPr="0053577B">
        <w:rPr>
          <w:rFonts w:eastAsia="宋体" w:cs="Times"/>
          <w:sz w:val="24"/>
          <w:szCs w:val="24"/>
          <w:lang w:eastAsia="zh-CN"/>
        </w:rPr>
        <w:t>1098–1109.</w:t>
      </w:r>
    </w:p>
    <w:p w14:paraId="31402304" w14:textId="03105F3D" w:rsidR="00404A16" w:rsidRPr="0053577B" w:rsidRDefault="00404A16" w:rsidP="0053577B">
      <w:pPr>
        <w:pStyle w:val="a9"/>
        <w:numPr>
          <w:ilvl w:val="0"/>
          <w:numId w:val="1"/>
        </w:numPr>
        <w:autoSpaceDE w:val="0"/>
        <w:autoSpaceDN w:val="0"/>
        <w:adjustRightInd w:val="0"/>
        <w:snapToGrid w:val="0"/>
        <w:spacing w:after="240"/>
        <w:ind w:firstLineChars="0"/>
        <w:jc w:val="both"/>
        <w:rPr>
          <w:rFonts w:eastAsia="宋体" w:cs="Times"/>
          <w:bCs/>
          <w:sz w:val="24"/>
          <w:szCs w:val="24"/>
          <w:lang w:eastAsia="zh-CN"/>
        </w:rPr>
      </w:pPr>
      <w:r w:rsidRPr="0053577B">
        <w:rPr>
          <w:rFonts w:eastAsia="宋体" w:cs="Times"/>
          <w:bCs/>
          <w:sz w:val="24"/>
          <w:szCs w:val="24"/>
          <w:lang w:eastAsia="zh-CN"/>
        </w:rPr>
        <w:t>Lau CMJ,</w:t>
      </w:r>
      <w:r w:rsidRPr="0053577B">
        <w:rPr>
          <w:rFonts w:eastAsia="宋体" w:cs="Times"/>
          <w:bCs/>
          <w:position w:val="8"/>
          <w:sz w:val="24"/>
          <w:szCs w:val="24"/>
          <w:lang w:eastAsia="zh-CN"/>
        </w:rPr>
        <w:t xml:space="preserve"> </w:t>
      </w:r>
      <w:proofErr w:type="spellStart"/>
      <w:r w:rsidRPr="0053577B">
        <w:rPr>
          <w:rFonts w:eastAsia="宋体" w:cs="Times"/>
          <w:bCs/>
          <w:sz w:val="24"/>
          <w:szCs w:val="24"/>
          <w:lang w:eastAsia="zh-CN"/>
        </w:rPr>
        <w:t>Kroes</w:t>
      </w:r>
      <w:proofErr w:type="spellEnd"/>
      <w:r w:rsidRPr="0053577B">
        <w:rPr>
          <w:rFonts w:eastAsia="宋体" w:cs="Times"/>
          <w:bCs/>
          <w:sz w:val="24"/>
          <w:szCs w:val="24"/>
          <w:lang w:eastAsia="zh-CN"/>
        </w:rPr>
        <w:t xml:space="preserve"> RA,</w:t>
      </w:r>
      <w:r w:rsidRPr="0053577B">
        <w:rPr>
          <w:rFonts w:eastAsia="宋体" w:cs="Times"/>
          <w:bCs/>
          <w:position w:val="8"/>
          <w:sz w:val="24"/>
          <w:szCs w:val="24"/>
          <w:lang w:eastAsia="zh-CN"/>
        </w:rPr>
        <w:t xml:space="preserve"> </w:t>
      </w:r>
      <w:proofErr w:type="spellStart"/>
      <w:r w:rsidRPr="0053577B">
        <w:rPr>
          <w:rFonts w:eastAsia="宋体" w:cs="Times"/>
          <w:bCs/>
          <w:sz w:val="24"/>
          <w:szCs w:val="24"/>
          <w:lang w:eastAsia="zh-CN"/>
        </w:rPr>
        <w:t>Moskal</w:t>
      </w:r>
      <w:proofErr w:type="spellEnd"/>
      <w:r w:rsidRPr="0053577B">
        <w:rPr>
          <w:rFonts w:eastAsia="宋体" w:cs="Times"/>
          <w:bCs/>
          <w:sz w:val="24"/>
          <w:szCs w:val="24"/>
          <w:lang w:eastAsia="zh-CN"/>
        </w:rPr>
        <w:t xml:space="preserve"> JR,</w:t>
      </w:r>
      <w:r w:rsidRPr="0053577B">
        <w:rPr>
          <w:rFonts w:eastAsia="宋体" w:cs="Times"/>
          <w:bCs/>
          <w:position w:val="8"/>
          <w:sz w:val="24"/>
          <w:szCs w:val="24"/>
          <w:lang w:eastAsia="zh-CN"/>
        </w:rPr>
        <w:t xml:space="preserve"> </w:t>
      </w:r>
      <w:proofErr w:type="spellStart"/>
      <w:r w:rsidRPr="0053577B">
        <w:rPr>
          <w:rFonts w:eastAsia="宋体" w:cs="Times"/>
          <w:bCs/>
          <w:sz w:val="24"/>
          <w:szCs w:val="24"/>
          <w:lang w:eastAsia="zh-CN"/>
        </w:rPr>
        <w:t>Linsenmeier</w:t>
      </w:r>
      <w:proofErr w:type="spellEnd"/>
      <w:r w:rsidRPr="0053577B">
        <w:rPr>
          <w:rFonts w:eastAsia="宋体" w:cs="Times"/>
          <w:bCs/>
          <w:sz w:val="24"/>
          <w:szCs w:val="24"/>
          <w:lang w:eastAsia="zh-CN"/>
        </w:rPr>
        <w:t xml:space="preserve"> RA</w:t>
      </w:r>
      <w:r w:rsidR="00C74626" w:rsidRPr="0053577B">
        <w:rPr>
          <w:rFonts w:eastAsia="宋体" w:cs="Times"/>
          <w:sz w:val="24"/>
          <w:szCs w:val="24"/>
          <w:lang w:eastAsia="zh-CN"/>
        </w:rPr>
        <w:t>. (2013).</w:t>
      </w:r>
      <w:r w:rsidRPr="0053577B">
        <w:rPr>
          <w:rFonts w:eastAsia="宋体" w:cs="Times"/>
          <w:sz w:val="24"/>
          <w:szCs w:val="24"/>
          <w:lang w:eastAsia="zh-CN"/>
        </w:rPr>
        <w:t xml:space="preserve"> </w:t>
      </w:r>
      <w:r w:rsidRPr="0053577B">
        <w:rPr>
          <w:sz w:val="24"/>
          <w:szCs w:val="24"/>
        </w:rPr>
        <w:t xml:space="preserve">Diabetes changes expression of genes related to glutamate neurotransmission and transport in the Long-Evans rat retina, </w:t>
      </w:r>
      <w:r w:rsidRPr="0053577B">
        <w:rPr>
          <w:rFonts w:eastAsia="宋体" w:cs="Times"/>
          <w:bCs/>
          <w:i/>
          <w:iCs/>
          <w:sz w:val="24"/>
          <w:szCs w:val="24"/>
          <w:lang w:eastAsia="zh-CN"/>
        </w:rPr>
        <w:t>Molecular Vision</w:t>
      </w:r>
      <w:r w:rsidR="00C74626" w:rsidRPr="0053577B">
        <w:rPr>
          <w:rFonts w:eastAsia="宋体" w:cs="Times"/>
          <w:bCs/>
          <w:iCs/>
          <w:sz w:val="24"/>
          <w:szCs w:val="24"/>
          <w:lang w:eastAsia="zh-CN"/>
        </w:rPr>
        <w:t>,</w:t>
      </w:r>
      <w:r w:rsidR="00C74626" w:rsidRPr="0053577B">
        <w:rPr>
          <w:rFonts w:eastAsia="宋体" w:cs="Times"/>
          <w:bCs/>
          <w:sz w:val="24"/>
          <w:szCs w:val="24"/>
          <w:lang w:eastAsia="zh-CN"/>
        </w:rPr>
        <w:t xml:space="preserve"> 19, </w:t>
      </w:r>
      <w:r w:rsidRPr="0053577B">
        <w:rPr>
          <w:rFonts w:eastAsia="宋体" w:cs="Times"/>
          <w:bCs/>
          <w:sz w:val="24"/>
          <w:szCs w:val="24"/>
          <w:lang w:eastAsia="zh-CN"/>
        </w:rPr>
        <w:t>1538-1553.</w:t>
      </w:r>
    </w:p>
    <w:p w14:paraId="048C25BA" w14:textId="5B5227A0" w:rsidR="00404A16" w:rsidRPr="0053577B" w:rsidRDefault="00C74626" w:rsidP="0053577B">
      <w:pPr>
        <w:pStyle w:val="a9"/>
        <w:numPr>
          <w:ilvl w:val="0"/>
          <w:numId w:val="1"/>
        </w:numPr>
        <w:autoSpaceDE w:val="0"/>
        <w:autoSpaceDN w:val="0"/>
        <w:adjustRightInd w:val="0"/>
        <w:snapToGrid w:val="0"/>
        <w:spacing w:after="240"/>
        <w:ind w:firstLineChars="0"/>
        <w:jc w:val="both"/>
        <w:rPr>
          <w:rFonts w:eastAsia="宋体" w:cs="Times"/>
          <w:color w:val="101010"/>
          <w:sz w:val="24"/>
          <w:szCs w:val="24"/>
          <w:lang w:eastAsia="zh-CN"/>
        </w:rPr>
      </w:pPr>
      <w:proofErr w:type="spellStart"/>
      <w:r w:rsidRPr="0053577B">
        <w:rPr>
          <w:rFonts w:eastAsia="宋体" w:cs="Times"/>
          <w:color w:val="101010"/>
          <w:sz w:val="24"/>
          <w:szCs w:val="24"/>
          <w:lang w:eastAsia="zh-CN"/>
        </w:rPr>
        <w:t>Motyl</w:t>
      </w:r>
      <w:proofErr w:type="spellEnd"/>
      <w:r w:rsidRPr="0053577B">
        <w:rPr>
          <w:rFonts w:eastAsia="宋体" w:cs="Times"/>
          <w:color w:val="101010"/>
          <w:sz w:val="24"/>
          <w:szCs w:val="24"/>
          <w:lang w:eastAsia="zh-CN"/>
        </w:rPr>
        <w:t xml:space="preserve"> K and McCabe LR. (2009).</w:t>
      </w:r>
      <w:r w:rsidR="00404A16" w:rsidRPr="0053577B">
        <w:rPr>
          <w:rFonts w:eastAsia="宋体" w:cs="Times"/>
          <w:color w:val="101010"/>
          <w:sz w:val="24"/>
          <w:szCs w:val="24"/>
          <w:lang w:eastAsia="zh-CN"/>
        </w:rPr>
        <w:t xml:space="preserve"> </w:t>
      </w:r>
      <w:r w:rsidRPr="0053577B">
        <w:rPr>
          <w:sz w:val="24"/>
          <w:szCs w:val="24"/>
        </w:rPr>
        <w:t>STZ</w:t>
      </w:r>
      <w:r w:rsidR="00404A16" w:rsidRPr="0053577B">
        <w:rPr>
          <w:sz w:val="24"/>
          <w:szCs w:val="24"/>
        </w:rPr>
        <w:t xml:space="preserve"> type 1 diabetes severity and bone, </w:t>
      </w:r>
      <w:r w:rsidRPr="0053577B">
        <w:rPr>
          <w:rFonts w:eastAsia="宋体" w:cs="Times"/>
          <w:i/>
          <w:color w:val="101010"/>
          <w:sz w:val="24"/>
          <w:szCs w:val="24"/>
          <w:lang w:eastAsia="zh-CN"/>
        </w:rPr>
        <w:t>Biological Procedures Online</w:t>
      </w:r>
      <w:r w:rsidRPr="0053577B">
        <w:rPr>
          <w:rFonts w:eastAsia="宋体" w:cs="Times"/>
          <w:color w:val="101010"/>
          <w:sz w:val="24"/>
          <w:szCs w:val="24"/>
          <w:lang w:eastAsia="zh-CN"/>
        </w:rPr>
        <w:t>, 11(1),</w:t>
      </w:r>
      <w:r w:rsidR="00404A16" w:rsidRPr="0053577B">
        <w:rPr>
          <w:rFonts w:eastAsia="宋体" w:cs="Times"/>
          <w:color w:val="101010"/>
          <w:sz w:val="24"/>
          <w:szCs w:val="24"/>
          <w:lang w:eastAsia="zh-CN"/>
        </w:rPr>
        <w:t xml:space="preserve"> 296-315.</w:t>
      </w:r>
    </w:p>
    <w:p w14:paraId="0F8FF8CF" w14:textId="41C4D2E3" w:rsidR="00404A16" w:rsidRPr="0053577B" w:rsidRDefault="00404A16" w:rsidP="0053577B">
      <w:pPr>
        <w:pStyle w:val="a9"/>
        <w:numPr>
          <w:ilvl w:val="0"/>
          <w:numId w:val="1"/>
        </w:numPr>
        <w:autoSpaceDE w:val="0"/>
        <w:autoSpaceDN w:val="0"/>
        <w:adjustRightInd w:val="0"/>
        <w:snapToGrid w:val="0"/>
        <w:spacing w:after="240"/>
        <w:ind w:firstLineChars="0"/>
        <w:jc w:val="both"/>
        <w:rPr>
          <w:rFonts w:eastAsia="宋体" w:cs="Times"/>
          <w:sz w:val="24"/>
          <w:szCs w:val="24"/>
          <w:lang w:eastAsia="zh-CN"/>
        </w:rPr>
      </w:pPr>
      <w:proofErr w:type="spellStart"/>
      <w:r w:rsidRPr="0053577B">
        <w:rPr>
          <w:rFonts w:eastAsia="宋体" w:cs="Times"/>
          <w:sz w:val="24"/>
          <w:szCs w:val="24"/>
          <w:lang w:eastAsia="zh-CN"/>
        </w:rPr>
        <w:t>Chiyonobu</w:t>
      </w:r>
      <w:proofErr w:type="spellEnd"/>
      <w:r w:rsidRPr="0053577B">
        <w:rPr>
          <w:rFonts w:eastAsia="宋体" w:cs="Times"/>
          <w:sz w:val="24"/>
          <w:szCs w:val="24"/>
          <w:lang w:eastAsia="zh-CN"/>
        </w:rPr>
        <w:t xml:space="preserve"> T,</w:t>
      </w:r>
      <w:r w:rsidRPr="0053577B">
        <w:rPr>
          <w:rFonts w:eastAsia="宋体" w:cs="Times"/>
          <w:position w:val="13"/>
          <w:sz w:val="24"/>
          <w:szCs w:val="24"/>
          <w:lang w:eastAsia="zh-CN"/>
        </w:rPr>
        <w:t xml:space="preserve"> </w:t>
      </w:r>
      <w:r w:rsidRPr="0053577B">
        <w:rPr>
          <w:rFonts w:eastAsia="宋体" w:cs="Times"/>
          <w:sz w:val="24"/>
          <w:szCs w:val="24"/>
          <w:lang w:eastAsia="zh-CN"/>
        </w:rPr>
        <w:t>Hayashi S,</w:t>
      </w:r>
      <w:r w:rsidRPr="0053577B">
        <w:rPr>
          <w:rFonts w:eastAsia="宋体" w:cs="Times"/>
          <w:position w:val="13"/>
          <w:sz w:val="24"/>
          <w:szCs w:val="24"/>
          <w:lang w:eastAsia="zh-CN"/>
        </w:rPr>
        <w:t xml:space="preserve"> </w:t>
      </w:r>
      <w:r w:rsidRPr="0053577B">
        <w:rPr>
          <w:rFonts w:eastAsia="宋体" w:cs="Times"/>
          <w:sz w:val="24"/>
          <w:szCs w:val="24"/>
          <w:lang w:eastAsia="zh-CN"/>
        </w:rPr>
        <w:t xml:space="preserve">Kobayashi K, Morimoto M, </w:t>
      </w:r>
      <w:proofErr w:type="spellStart"/>
      <w:r w:rsidRPr="0053577B">
        <w:rPr>
          <w:rFonts w:eastAsia="宋体" w:cs="Times"/>
          <w:sz w:val="24"/>
          <w:szCs w:val="24"/>
          <w:lang w:eastAsia="zh-CN"/>
        </w:rPr>
        <w:t>Miyanomae</w:t>
      </w:r>
      <w:proofErr w:type="spellEnd"/>
      <w:r w:rsidRPr="0053577B">
        <w:rPr>
          <w:rFonts w:eastAsia="宋体" w:cs="Times"/>
          <w:sz w:val="24"/>
          <w:szCs w:val="24"/>
          <w:lang w:eastAsia="zh-CN"/>
        </w:rPr>
        <w:t xml:space="preserve"> Y,</w:t>
      </w:r>
      <w:r w:rsidRPr="0053577B">
        <w:rPr>
          <w:rFonts w:eastAsia="宋体" w:cs="Times"/>
          <w:position w:val="13"/>
          <w:sz w:val="24"/>
          <w:szCs w:val="24"/>
          <w:lang w:eastAsia="zh-CN"/>
        </w:rPr>
        <w:t xml:space="preserve"> </w:t>
      </w:r>
      <w:r w:rsidRPr="0053577B">
        <w:rPr>
          <w:rFonts w:eastAsia="宋体" w:cs="Times"/>
          <w:sz w:val="24"/>
          <w:szCs w:val="24"/>
          <w:lang w:eastAsia="zh-CN"/>
        </w:rPr>
        <w:t>Nishimura A,</w:t>
      </w:r>
      <w:r w:rsidRPr="0053577B">
        <w:rPr>
          <w:rFonts w:eastAsia="宋体" w:cs="Times"/>
          <w:position w:val="13"/>
          <w:sz w:val="24"/>
          <w:szCs w:val="24"/>
          <w:lang w:eastAsia="zh-CN"/>
        </w:rPr>
        <w:t xml:space="preserve"> </w:t>
      </w:r>
      <w:proofErr w:type="spellStart"/>
      <w:r w:rsidRPr="0053577B">
        <w:rPr>
          <w:rFonts w:eastAsia="宋体" w:cs="Times"/>
          <w:sz w:val="24"/>
          <w:szCs w:val="24"/>
          <w:lang w:eastAsia="zh-CN"/>
        </w:rPr>
        <w:t>Nishimoto</w:t>
      </w:r>
      <w:proofErr w:type="spellEnd"/>
      <w:r w:rsidRPr="0053577B">
        <w:rPr>
          <w:rFonts w:eastAsia="宋体" w:cs="Times"/>
          <w:sz w:val="24"/>
          <w:szCs w:val="24"/>
          <w:lang w:eastAsia="zh-CN"/>
        </w:rPr>
        <w:t xml:space="preserve"> A, Ito C,</w:t>
      </w:r>
      <w:r w:rsidRPr="0053577B">
        <w:rPr>
          <w:rFonts w:eastAsia="宋体" w:cs="Times"/>
          <w:position w:val="13"/>
          <w:sz w:val="24"/>
          <w:szCs w:val="24"/>
          <w:lang w:eastAsia="zh-CN"/>
        </w:rPr>
        <w:t xml:space="preserve"> </w:t>
      </w:r>
      <w:proofErr w:type="spellStart"/>
      <w:r w:rsidRPr="0053577B">
        <w:rPr>
          <w:rFonts w:eastAsia="宋体" w:cs="Times"/>
          <w:sz w:val="24"/>
          <w:szCs w:val="24"/>
          <w:lang w:eastAsia="zh-CN"/>
        </w:rPr>
        <w:t>Imoto</w:t>
      </w:r>
      <w:proofErr w:type="spellEnd"/>
      <w:r w:rsidRPr="0053577B">
        <w:rPr>
          <w:rFonts w:eastAsia="宋体" w:cs="Times"/>
          <w:sz w:val="24"/>
          <w:szCs w:val="24"/>
          <w:lang w:eastAsia="zh-CN"/>
        </w:rPr>
        <w:t xml:space="preserve"> I,</w:t>
      </w:r>
      <w:r w:rsidRPr="0053577B">
        <w:rPr>
          <w:rFonts w:eastAsia="宋体" w:cs="Times"/>
          <w:position w:val="13"/>
          <w:sz w:val="24"/>
          <w:szCs w:val="24"/>
          <w:lang w:eastAsia="zh-CN"/>
        </w:rPr>
        <w:t xml:space="preserve"> </w:t>
      </w:r>
      <w:r w:rsidRPr="0053577B">
        <w:rPr>
          <w:rFonts w:eastAsia="宋体" w:cs="Times"/>
          <w:sz w:val="24"/>
          <w:szCs w:val="24"/>
          <w:lang w:eastAsia="zh-CN"/>
        </w:rPr>
        <w:t>Sugimoto T,</w:t>
      </w:r>
      <w:r w:rsidRPr="0053577B">
        <w:rPr>
          <w:rFonts w:eastAsia="宋体" w:cs="Times"/>
          <w:position w:val="13"/>
          <w:sz w:val="24"/>
          <w:szCs w:val="24"/>
          <w:lang w:eastAsia="zh-CN"/>
        </w:rPr>
        <w:t xml:space="preserve"> </w:t>
      </w:r>
      <w:proofErr w:type="spellStart"/>
      <w:r w:rsidRPr="0053577B">
        <w:rPr>
          <w:rFonts w:eastAsia="宋体" w:cs="Times"/>
          <w:sz w:val="24"/>
          <w:szCs w:val="24"/>
          <w:lang w:eastAsia="zh-CN"/>
        </w:rPr>
        <w:t>Jia</w:t>
      </w:r>
      <w:proofErr w:type="spellEnd"/>
      <w:r w:rsidRPr="0053577B">
        <w:rPr>
          <w:rFonts w:eastAsia="宋体" w:cs="Times"/>
          <w:sz w:val="24"/>
          <w:szCs w:val="24"/>
          <w:lang w:eastAsia="zh-CN"/>
        </w:rPr>
        <w:t xml:space="preserve"> ZP, </w:t>
      </w:r>
      <w:proofErr w:type="spellStart"/>
      <w:r w:rsidRPr="0053577B">
        <w:rPr>
          <w:rFonts w:eastAsia="宋体" w:cs="Times"/>
          <w:sz w:val="24"/>
          <w:szCs w:val="24"/>
          <w:lang w:eastAsia="zh-CN"/>
        </w:rPr>
        <w:t>Inazawa</w:t>
      </w:r>
      <w:proofErr w:type="spellEnd"/>
      <w:r w:rsidRPr="0053577B">
        <w:rPr>
          <w:rFonts w:eastAsia="宋体" w:cs="Times"/>
          <w:sz w:val="24"/>
          <w:szCs w:val="24"/>
          <w:lang w:eastAsia="zh-CN"/>
        </w:rPr>
        <w:t xml:space="preserve"> J,</w:t>
      </w:r>
      <w:r w:rsidRPr="0053577B">
        <w:rPr>
          <w:rFonts w:eastAsia="宋体" w:cs="Times"/>
          <w:position w:val="13"/>
          <w:sz w:val="24"/>
          <w:szCs w:val="24"/>
          <w:lang w:eastAsia="zh-CN"/>
        </w:rPr>
        <w:t xml:space="preserve"> </w:t>
      </w:r>
      <w:r w:rsidRPr="0053577B">
        <w:rPr>
          <w:rFonts w:eastAsia="宋体" w:cs="Times"/>
          <w:sz w:val="24"/>
          <w:szCs w:val="24"/>
          <w:lang w:eastAsia="zh-CN"/>
        </w:rPr>
        <w:t>and T</w:t>
      </w:r>
      <w:r w:rsidR="00C74626" w:rsidRPr="0053577B">
        <w:rPr>
          <w:rFonts w:eastAsia="宋体" w:cs="Times"/>
          <w:sz w:val="24"/>
          <w:szCs w:val="24"/>
          <w:lang w:eastAsia="zh-CN"/>
        </w:rPr>
        <w:t xml:space="preserve">oda T. (2007). </w:t>
      </w:r>
      <w:r w:rsidRPr="0053577B">
        <w:rPr>
          <w:rFonts w:eastAsia="宋体" w:cs="Times"/>
          <w:sz w:val="24"/>
          <w:szCs w:val="24"/>
          <w:lang w:eastAsia="zh-CN"/>
        </w:rPr>
        <w:t xml:space="preserve">Partial Tandem Duplication of GRIA3 in a Male With Mental Retardation, </w:t>
      </w:r>
      <w:r w:rsidRPr="0053577B">
        <w:rPr>
          <w:rFonts w:eastAsia="宋体" w:cs="Times"/>
          <w:i/>
          <w:sz w:val="24"/>
          <w:szCs w:val="24"/>
          <w:lang w:eastAsia="zh-CN"/>
        </w:rPr>
        <w:t>American Journal of Medical Genetics Part A</w:t>
      </w:r>
      <w:r w:rsidR="00C74626" w:rsidRPr="0053577B">
        <w:rPr>
          <w:rFonts w:eastAsia="宋体" w:cs="Times"/>
          <w:sz w:val="24"/>
          <w:szCs w:val="24"/>
          <w:lang w:eastAsia="zh-CN"/>
        </w:rPr>
        <w:t xml:space="preserve">, 143A, </w:t>
      </w:r>
      <w:r w:rsidRPr="0053577B">
        <w:rPr>
          <w:rFonts w:eastAsia="宋体" w:cs="Times"/>
          <w:sz w:val="24"/>
          <w:szCs w:val="24"/>
          <w:lang w:eastAsia="zh-CN"/>
        </w:rPr>
        <w:t>1448–1455</w:t>
      </w:r>
    </w:p>
    <w:p w14:paraId="2148E56F" w14:textId="2546964F" w:rsidR="00404A16" w:rsidRPr="0053577B" w:rsidRDefault="00404A16" w:rsidP="0053577B">
      <w:pPr>
        <w:pStyle w:val="a9"/>
        <w:numPr>
          <w:ilvl w:val="0"/>
          <w:numId w:val="1"/>
        </w:numPr>
        <w:autoSpaceDE w:val="0"/>
        <w:autoSpaceDN w:val="0"/>
        <w:adjustRightInd w:val="0"/>
        <w:snapToGrid w:val="0"/>
        <w:spacing w:after="240"/>
        <w:ind w:firstLineChars="0"/>
        <w:jc w:val="both"/>
        <w:rPr>
          <w:rFonts w:eastAsia="宋体" w:cs="Times"/>
          <w:bCs/>
          <w:sz w:val="24"/>
          <w:szCs w:val="24"/>
          <w:lang w:eastAsia="zh-CN"/>
        </w:rPr>
      </w:pPr>
      <w:r w:rsidRPr="0053577B">
        <w:rPr>
          <w:rFonts w:eastAsia="宋体" w:cs="Times"/>
          <w:bCs/>
          <w:sz w:val="24"/>
          <w:szCs w:val="24"/>
          <w:lang w:eastAsia="zh-CN"/>
        </w:rPr>
        <w:t xml:space="preserve">Wu Y, Arai AC, </w:t>
      </w:r>
      <w:proofErr w:type="spellStart"/>
      <w:r w:rsidRPr="0053577B">
        <w:rPr>
          <w:rFonts w:eastAsia="宋体" w:cs="Times"/>
          <w:bCs/>
          <w:sz w:val="24"/>
          <w:szCs w:val="24"/>
          <w:lang w:eastAsia="zh-CN"/>
        </w:rPr>
        <w:t>Rumbaugh</w:t>
      </w:r>
      <w:proofErr w:type="spellEnd"/>
      <w:r w:rsidRPr="0053577B">
        <w:rPr>
          <w:rFonts w:eastAsia="宋体" w:cs="Times"/>
          <w:bCs/>
          <w:sz w:val="24"/>
          <w:szCs w:val="24"/>
          <w:lang w:eastAsia="zh-CN"/>
        </w:rPr>
        <w:t xml:space="preserve"> G, </w:t>
      </w:r>
      <w:proofErr w:type="spellStart"/>
      <w:r w:rsidRPr="0053577B">
        <w:rPr>
          <w:rFonts w:eastAsia="宋体" w:cs="Times"/>
          <w:bCs/>
          <w:sz w:val="24"/>
          <w:szCs w:val="24"/>
          <w:lang w:eastAsia="zh-CN"/>
        </w:rPr>
        <w:t>Srivastava</w:t>
      </w:r>
      <w:proofErr w:type="spellEnd"/>
      <w:r w:rsidRPr="0053577B">
        <w:rPr>
          <w:rFonts w:eastAsia="宋体" w:cs="Times"/>
          <w:bCs/>
          <w:sz w:val="24"/>
          <w:szCs w:val="24"/>
          <w:lang w:eastAsia="zh-CN"/>
        </w:rPr>
        <w:t xml:space="preserve"> AK, Turner G, Hayashi T, Suzuki E, Jiang Y, Zhang L, Rodriguez J, Boyle J, </w:t>
      </w:r>
      <w:proofErr w:type="spellStart"/>
      <w:r w:rsidRPr="0053577B">
        <w:rPr>
          <w:rFonts w:eastAsia="宋体" w:cs="Times"/>
          <w:bCs/>
          <w:sz w:val="24"/>
          <w:szCs w:val="24"/>
          <w:lang w:eastAsia="zh-CN"/>
        </w:rPr>
        <w:t>Tarpey</w:t>
      </w:r>
      <w:proofErr w:type="spellEnd"/>
      <w:r w:rsidRPr="0053577B">
        <w:rPr>
          <w:rFonts w:eastAsia="宋体" w:cs="Times"/>
          <w:bCs/>
          <w:sz w:val="24"/>
          <w:szCs w:val="24"/>
          <w:lang w:eastAsia="zh-CN"/>
        </w:rPr>
        <w:t xml:space="preserve"> P, Raymond FL, </w:t>
      </w:r>
      <w:proofErr w:type="spellStart"/>
      <w:r w:rsidRPr="0053577B">
        <w:rPr>
          <w:rFonts w:eastAsia="宋体" w:cs="Times"/>
          <w:bCs/>
          <w:sz w:val="24"/>
          <w:szCs w:val="24"/>
          <w:lang w:eastAsia="zh-CN"/>
        </w:rPr>
        <w:t>Nevelsteen</w:t>
      </w:r>
      <w:proofErr w:type="spellEnd"/>
      <w:r w:rsidRPr="0053577B">
        <w:rPr>
          <w:rFonts w:eastAsia="宋体" w:cs="Times"/>
          <w:bCs/>
          <w:sz w:val="24"/>
          <w:szCs w:val="24"/>
          <w:lang w:eastAsia="zh-CN"/>
        </w:rPr>
        <w:t xml:space="preserve"> J, </w:t>
      </w:r>
      <w:proofErr w:type="spellStart"/>
      <w:r w:rsidRPr="0053577B">
        <w:rPr>
          <w:rFonts w:eastAsia="宋体" w:cs="Times"/>
          <w:bCs/>
          <w:sz w:val="24"/>
          <w:szCs w:val="24"/>
          <w:lang w:eastAsia="zh-CN"/>
        </w:rPr>
        <w:t>Froyen</w:t>
      </w:r>
      <w:proofErr w:type="spellEnd"/>
      <w:r w:rsidRPr="0053577B">
        <w:rPr>
          <w:rFonts w:eastAsia="宋体" w:cs="Times"/>
          <w:bCs/>
          <w:sz w:val="24"/>
          <w:szCs w:val="24"/>
          <w:lang w:eastAsia="zh-CN"/>
        </w:rPr>
        <w:t xml:space="preserve"> G, Stratton M, </w:t>
      </w:r>
      <w:proofErr w:type="spellStart"/>
      <w:r w:rsidRPr="0053577B">
        <w:rPr>
          <w:rFonts w:eastAsia="宋体" w:cs="Times"/>
          <w:bCs/>
          <w:sz w:val="24"/>
          <w:szCs w:val="24"/>
          <w:lang w:eastAsia="zh-CN"/>
        </w:rPr>
        <w:t>Futreal</w:t>
      </w:r>
      <w:proofErr w:type="spellEnd"/>
      <w:r w:rsidRPr="0053577B">
        <w:rPr>
          <w:rFonts w:eastAsia="宋体" w:cs="Times"/>
          <w:bCs/>
          <w:sz w:val="24"/>
          <w:szCs w:val="24"/>
          <w:lang w:eastAsia="zh-CN"/>
        </w:rPr>
        <w:t xml:space="preserve"> A, </w:t>
      </w:r>
      <w:proofErr w:type="spellStart"/>
      <w:r w:rsidRPr="0053577B">
        <w:rPr>
          <w:rFonts w:eastAsia="宋体" w:cs="Times"/>
          <w:bCs/>
          <w:sz w:val="24"/>
          <w:szCs w:val="24"/>
          <w:lang w:eastAsia="zh-CN"/>
        </w:rPr>
        <w:t>Gecz</w:t>
      </w:r>
      <w:proofErr w:type="spellEnd"/>
      <w:r w:rsidRPr="0053577B">
        <w:rPr>
          <w:rFonts w:eastAsia="宋体" w:cs="Times"/>
          <w:bCs/>
          <w:sz w:val="24"/>
          <w:szCs w:val="24"/>
          <w:lang w:eastAsia="zh-CN"/>
        </w:rPr>
        <w:t xml:space="preserve"> J, Stevenson R, Schwartz CE, V</w:t>
      </w:r>
      <w:r w:rsidR="00C74626" w:rsidRPr="0053577B">
        <w:rPr>
          <w:rFonts w:eastAsia="宋体" w:cs="Times"/>
          <w:bCs/>
          <w:sz w:val="24"/>
          <w:szCs w:val="24"/>
          <w:lang w:eastAsia="zh-CN"/>
        </w:rPr>
        <w:t xml:space="preserve">alle D, </w:t>
      </w:r>
      <w:proofErr w:type="spellStart"/>
      <w:r w:rsidR="00C74626" w:rsidRPr="0053577B">
        <w:rPr>
          <w:rFonts w:eastAsia="宋体" w:cs="Times"/>
          <w:bCs/>
          <w:sz w:val="24"/>
          <w:szCs w:val="24"/>
          <w:lang w:eastAsia="zh-CN"/>
        </w:rPr>
        <w:t>Huganir</w:t>
      </w:r>
      <w:proofErr w:type="spellEnd"/>
      <w:r w:rsidR="00C74626" w:rsidRPr="0053577B">
        <w:rPr>
          <w:rFonts w:eastAsia="宋体" w:cs="Times"/>
          <w:bCs/>
          <w:sz w:val="24"/>
          <w:szCs w:val="24"/>
          <w:lang w:eastAsia="zh-CN"/>
        </w:rPr>
        <w:t xml:space="preserve"> RL, and Wang T. (2007).</w:t>
      </w:r>
      <w:r w:rsidRPr="0053577B">
        <w:rPr>
          <w:rFonts w:eastAsia="宋体" w:cs="Times"/>
          <w:bCs/>
          <w:sz w:val="24"/>
          <w:szCs w:val="24"/>
          <w:lang w:eastAsia="zh-CN"/>
        </w:rPr>
        <w:t xml:space="preserve"> Mutations in </w:t>
      </w:r>
      <w:proofErr w:type="spellStart"/>
      <w:r w:rsidRPr="0053577B">
        <w:rPr>
          <w:rFonts w:eastAsia="宋体" w:cs="Times"/>
          <w:bCs/>
          <w:sz w:val="24"/>
          <w:szCs w:val="24"/>
          <w:lang w:eastAsia="zh-CN"/>
        </w:rPr>
        <w:t>ionotropic</w:t>
      </w:r>
      <w:proofErr w:type="spellEnd"/>
      <w:r w:rsidRPr="0053577B">
        <w:rPr>
          <w:rFonts w:eastAsia="宋体" w:cs="Times"/>
          <w:bCs/>
          <w:sz w:val="24"/>
          <w:szCs w:val="24"/>
          <w:lang w:eastAsia="zh-CN"/>
        </w:rPr>
        <w:t xml:space="preserve"> AMPA receptor 3 alter</w:t>
      </w:r>
      <w:r w:rsidRPr="0053577B">
        <w:rPr>
          <w:rFonts w:eastAsia="宋体" w:cs="Times"/>
          <w:sz w:val="24"/>
          <w:szCs w:val="24"/>
          <w:lang w:eastAsia="zh-CN"/>
        </w:rPr>
        <w:t xml:space="preserve"> </w:t>
      </w:r>
      <w:r w:rsidRPr="0053577B">
        <w:rPr>
          <w:rFonts w:eastAsia="宋体" w:cs="Times"/>
          <w:bCs/>
          <w:sz w:val="24"/>
          <w:szCs w:val="24"/>
          <w:lang w:eastAsia="zh-CN"/>
        </w:rPr>
        <w:t>channel properties and are associated with</w:t>
      </w:r>
      <w:r w:rsidRPr="0053577B">
        <w:rPr>
          <w:rFonts w:eastAsia="宋体" w:cs="Times"/>
          <w:sz w:val="24"/>
          <w:szCs w:val="24"/>
          <w:lang w:eastAsia="zh-CN"/>
        </w:rPr>
        <w:t xml:space="preserve"> </w:t>
      </w:r>
      <w:r w:rsidRPr="0053577B">
        <w:rPr>
          <w:rFonts w:eastAsia="宋体" w:cs="Times"/>
          <w:bCs/>
          <w:sz w:val="24"/>
          <w:szCs w:val="24"/>
          <w:lang w:eastAsia="zh-CN"/>
        </w:rPr>
        <w:t xml:space="preserve">moderate cognitive impairment in humans, </w:t>
      </w:r>
      <w:r w:rsidR="00C74626" w:rsidRPr="0053577B">
        <w:rPr>
          <w:rFonts w:eastAsia="宋体" w:cs="Times"/>
          <w:i/>
          <w:sz w:val="24"/>
          <w:szCs w:val="24"/>
          <w:lang w:eastAsia="zh-CN"/>
        </w:rPr>
        <w:t>PNAS,</w:t>
      </w:r>
      <w:r w:rsidR="00C74626" w:rsidRPr="0053577B">
        <w:rPr>
          <w:rFonts w:eastAsia="宋体" w:cs="Times"/>
          <w:sz w:val="24"/>
          <w:szCs w:val="24"/>
          <w:lang w:eastAsia="zh-CN"/>
        </w:rPr>
        <w:t xml:space="preserve"> </w:t>
      </w:r>
      <w:r w:rsidRPr="0053577B">
        <w:rPr>
          <w:rFonts w:eastAsia="宋体" w:cs="Times"/>
          <w:sz w:val="24"/>
          <w:szCs w:val="24"/>
          <w:lang w:eastAsia="zh-CN"/>
        </w:rPr>
        <w:t>1</w:t>
      </w:r>
      <w:r w:rsidR="00C74626" w:rsidRPr="0053577B">
        <w:rPr>
          <w:rFonts w:eastAsia="宋体" w:cs="Times"/>
          <w:sz w:val="24"/>
          <w:szCs w:val="24"/>
          <w:lang w:eastAsia="zh-CN"/>
        </w:rPr>
        <w:t xml:space="preserve">04 (46), </w:t>
      </w:r>
      <w:r w:rsidRPr="0053577B">
        <w:rPr>
          <w:rFonts w:eastAsia="宋体" w:cs="Times"/>
          <w:bCs/>
          <w:sz w:val="24"/>
          <w:szCs w:val="24"/>
          <w:lang w:eastAsia="zh-CN"/>
        </w:rPr>
        <w:t>18163–18168.</w:t>
      </w:r>
    </w:p>
    <w:p w14:paraId="374A2CBD" w14:textId="77777777" w:rsidR="0053577B" w:rsidRPr="0053577B" w:rsidRDefault="00043376" w:rsidP="0053577B">
      <w:pPr>
        <w:pStyle w:val="a9"/>
        <w:numPr>
          <w:ilvl w:val="0"/>
          <w:numId w:val="1"/>
        </w:numPr>
        <w:autoSpaceDE w:val="0"/>
        <w:autoSpaceDN w:val="0"/>
        <w:adjustRightInd w:val="0"/>
        <w:snapToGrid w:val="0"/>
        <w:spacing w:after="240"/>
        <w:ind w:firstLineChars="0"/>
        <w:jc w:val="both"/>
        <w:rPr>
          <w:rFonts w:eastAsia="宋体" w:cs="Times"/>
          <w:bCs/>
          <w:sz w:val="24"/>
          <w:szCs w:val="24"/>
          <w:lang w:eastAsia="zh-CN"/>
        </w:rPr>
      </w:pPr>
      <w:r w:rsidRPr="0053577B">
        <w:rPr>
          <w:rFonts w:eastAsia="宋体" w:cs="Times"/>
          <w:bCs/>
          <w:sz w:val="24"/>
          <w:szCs w:val="24"/>
          <w:lang w:eastAsia="zh-CN"/>
        </w:rPr>
        <w:lastRenderedPageBreak/>
        <w:t xml:space="preserve">Nature </w:t>
      </w:r>
      <w:proofErr w:type="spellStart"/>
      <w:r w:rsidRPr="0053577B">
        <w:rPr>
          <w:rFonts w:eastAsia="宋体" w:cs="Times"/>
          <w:bCs/>
          <w:sz w:val="24"/>
          <w:szCs w:val="24"/>
          <w:lang w:eastAsia="zh-CN"/>
        </w:rPr>
        <w:t>Protocals</w:t>
      </w:r>
      <w:proofErr w:type="spellEnd"/>
      <w:r w:rsidRPr="0053577B">
        <w:rPr>
          <w:rFonts w:eastAsia="宋体" w:cs="Times"/>
          <w:bCs/>
          <w:sz w:val="24"/>
          <w:szCs w:val="24"/>
          <w:lang w:eastAsia="zh-CN"/>
        </w:rPr>
        <w:t xml:space="preserve"> </w:t>
      </w:r>
      <w:r w:rsidR="00C74626" w:rsidRPr="0053577B">
        <w:rPr>
          <w:rFonts w:eastAsia="宋体" w:cs="Times"/>
          <w:bCs/>
          <w:sz w:val="24"/>
          <w:szCs w:val="24"/>
          <w:lang w:eastAsia="zh-CN"/>
        </w:rPr>
        <w:t>(</w:t>
      </w:r>
      <w:r w:rsidRPr="0053577B">
        <w:rPr>
          <w:rFonts w:eastAsia="宋体" w:cs="Times"/>
          <w:bCs/>
          <w:sz w:val="24"/>
          <w:szCs w:val="24"/>
          <w:lang w:eastAsia="zh-CN"/>
        </w:rPr>
        <w:t>2009</w:t>
      </w:r>
      <w:r w:rsidR="00C74626" w:rsidRPr="0053577B">
        <w:rPr>
          <w:rFonts w:eastAsia="宋体" w:cs="Times"/>
          <w:bCs/>
          <w:sz w:val="24"/>
          <w:szCs w:val="24"/>
          <w:lang w:eastAsia="zh-CN"/>
        </w:rPr>
        <w:t xml:space="preserve">), 4(1), </w:t>
      </w:r>
      <w:r w:rsidRPr="0053577B">
        <w:rPr>
          <w:rFonts w:eastAsia="宋体" w:cs="Times"/>
          <w:bCs/>
          <w:sz w:val="24"/>
          <w:szCs w:val="24"/>
          <w:lang w:eastAsia="zh-CN"/>
        </w:rPr>
        <w:t xml:space="preserve">44 &amp; Nucleic Acids Res </w:t>
      </w:r>
      <w:r w:rsidR="00C74626" w:rsidRPr="0053577B">
        <w:rPr>
          <w:rFonts w:eastAsia="宋体" w:cs="Times"/>
          <w:bCs/>
          <w:sz w:val="24"/>
          <w:szCs w:val="24"/>
          <w:lang w:eastAsia="zh-CN"/>
        </w:rPr>
        <w:t>(</w:t>
      </w:r>
      <w:r w:rsidRPr="0053577B">
        <w:rPr>
          <w:rFonts w:eastAsia="宋体" w:cs="Times"/>
          <w:bCs/>
          <w:sz w:val="24"/>
          <w:szCs w:val="24"/>
          <w:lang w:eastAsia="zh-CN"/>
        </w:rPr>
        <w:t>2009</w:t>
      </w:r>
      <w:r w:rsidR="00C74626" w:rsidRPr="0053577B">
        <w:rPr>
          <w:rFonts w:eastAsia="宋体" w:cs="Times"/>
          <w:bCs/>
          <w:sz w:val="24"/>
          <w:szCs w:val="24"/>
          <w:lang w:eastAsia="zh-CN"/>
        </w:rPr>
        <w:t>), 37 (1)</w:t>
      </w:r>
      <w:proofErr w:type="gramStart"/>
      <w:r w:rsidR="00C74626" w:rsidRPr="0053577B">
        <w:rPr>
          <w:rFonts w:eastAsia="宋体" w:cs="Times"/>
          <w:bCs/>
          <w:sz w:val="24"/>
          <w:szCs w:val="24"/>
          <w:lang w:eastAsia="zh-CN"/>
        </w:rPr>
        <w:t>,</w:t>
      </w:r>
      <w:r w:rsidRPr="0053577B">
        <w:rPr>
          <w:rFonts w:eastAsia="宋体" w:cs="Times"/>
          <w:bCs/>
          <w:sz w:val="24"/>
          <w:szCs w:val="24"/>
          <w:lang w:eastAsia="zh-CN"/>
        </w:rPr>
        <w:t>1</w:t>
      </w:r>
      <w:proofErr w:type="gramEnd"/>
    </w:p>
    <w:p w14:paraId="72384A49" w14:textId="77777777" w:rsidR="0053577B" w:rsidRPr="0053577B" w:rsidRDefault="00404A16" w:rsidP="0053577B">
      <w:pPr>
        <w:pStyle w:val="a9"/>
        <w:numPr>
          <w:ilvl w:val="0"/>
          <w:numId w:val="1"/>
        </w:numPr>
        <w:autoSpaceDE w:val="0"/>
        <w:autoSpaceDN w:val="0"/>
        <w:adjustRightInd w:val="0"/>
        <w:snapToGrid w:val="0"/>
        <w:spacing w:after="240"/>
        <w:ind w:firstLineChars="0"/>
        <w:jc w:val="both"/>
        <w:rPr>
          <w:rFonts w:eastAsia="宋体" w:cs="Times"/>
          <w:bCs/>
          <w:sz w:val="24"/>
          <w:szCs w:val="24"/>
          <w:lang w:eastAsia="zh-CN"/>
        </w:rPr>
      </w:pPr>
      <w:r w:rsidRPr="0053577B">
        <w:rPr>
          <w:rFonts w:eastAsia="宋体" w:cs="Arial"/>
          <w:color w:val="262626"/>
          <w:sz w:val="24"/>
          <w:szCs w:val="24"/>
          <w:lang w:eastAsia="zh-CN"/>
        </w:rPr>
        <w:t>Van DE</w:t>
      </w:r>
      <w:r w:rsidRPr="0053577B">
        <w:rPr>
          <w:rFonts w:eastAsia="宋体" w:cs="Arial"/>
          <w:sz w:val="24"/>
          <w:szCs w:val="24"/>
          <w:lang w:eastAsia="zh-CN"/>
        </w:rPr>
        <w:t xml:space="preserve">, </w:t>
      </w:r>
      <w:hyperlink r:id="rId13" w:history="1">
        <w:r w:rsidRPr="0053577B">
          <w:rPr>
            <w:rFonts w:eastAsia="宋体" w:cs="Arial"/>
            <w:color w:val="262626"/>
            <w:sz w:val="24"/>
            <w:szCs w:val="24"/>
            <w:lang w:eastAsia="zh-CN"/>
          </w:rPr>
          <w:t>Klein M</w:t>
        </w:r>
      </w:hyperlink>
      <w:r w:rsidRPr="0053577B">
        <w:rPr>
          <w:rFonts w:eastAsia="宋体" w:cs="Arial"/>
          <w:sz w:val="24"/>
          <w:szCs w:val="24"/>
          <w:lang w:eastAsia="zh-CN"/>
        </w:rPr>
        <w:t xml:space="preserve">, </w:t>
      </w:r>
      <w:hyperlink r:id="rId14" w:history="1">
        <w:r w:rsidRPr="0053577B">
          <w:rPr>
            <w:rFonts w:eastAsia="宋体" w:cs="Arial"/>
            <w:color w:val="262626"/>
            <w:sz w:val="24"/>
            <w:szCs w:val="24"/>
            <w:lang w:eastAsia="zh-CN"/>
          </w:rPr>
          <w:t>Schoonenboom NS</w:t>
        </w:r>
      </w:hyperlink>
      <w:r w:rsidRPr="0053577B">
        <w:rPr>
          <w:rFonts w:eastAsia="宋体" w:cs="Arial"/>
          <w:sz w:val="24"/>
          <w:szCs w:val="24"/>
          <w:lang w:eastAsia="zh-CN"/>
        </w:rPr>
        <w:t xml:space="preserve">, </w:t>
      </w:r>
      <w:hyperlink r:id="rId15" w:history="1">
        <w:r w:rsidRPr="0053577B">
          <w:rPr>
            <w:rFonts w:eastAsia="宋体" w:cs="Arial"/>
            <w:color w:val="262626"/>
            <w:sz w:val="24"/>
            <w:szCs w:val="24"/>
            <w:lang w:eastAsia="zh-CN"/>
          </w:rPr>
          <w:t>Hoogma RP</w:t>
        </w:r>
      </w:hyperlink>
      <w:r w:rsidRPr="0053577B">
        <w:rPr>
          <w:rFonts w:eastAsia="宋体" w:cs="Arial"/>
          <w:sz w:val="24"/>
          <w:szCs w:val="24"/>
          <w:lang w:eastAsia="zh-CN"/>
        </w:rPr>
        <w:t xml:space="preserve">, </w:t>
      </w:r>
      <w:hyperlink r:id="rId16" w:history="1">
        <w:r w:rsidRPr="0053577B">
          <w:rPr>
            <w:rFonts w:eastAsia="宋体" w:cs="Arial"/>
            <w:color w:val="262626"/>
            <w:sz w:val="24"/>
            <w:szCs w:val="24"/>
            <w:lang w:eastAsia="zh-CN"/>
          </w:rPr>
          <w:t>Moll AC</w:t>
        </w:r>
      </w:hyperlink>
      <w:r w:rsidRPr="0053577B">
        <w:rPr>
          <w:rFonts w:eastAsia="宋体" w:cs="Arial"/>
          <w:sz w:val="24"/>
          <w:szCs w:val="24"/>
          <w:lang w:eastAsia="zh-CN"/>
        </w:rPr>
        <w:t xml:space="preserve">, </w:t>
      </w:r>
      <w:hyperlink r:id="rId17" w:history="1">
        <w:r w:rsidRPr="0053577B">
          <w:rPr>
            <w:rFonts w:eastAsia="宋体" w:cs="Arial"/>
            <w:color w:val="262626"/>
            <w:sz w:val="24"/>
            <w:szCs w:val="24"/>
            <w:lang w:eastAsia="zh-CN"/>
          </w:rPr>
          <w:t>Snoek FJ</w:t>
        </w:r>
      </w:hyperlink>
      <w:r w:rsidRPr="0053577B">
        <w:rPr>
          <w:rFonts w:eastAsia="宋体" w:cs="Arial"/>
          <w:sz w:val="24"/>
          <w:szCs w:val="24"/>
          <w:lang w:eastAsia="zh-CN"/>
        </w:rPr>
        <w:t xml:space="preserve">, </w:t>
      </w:r>
      <w:hyperlink r:id="rId18" w:history="1">
        <w:r w:rsidRPr="0053577B">
          <w:rPr>
            <w:rFonts w:eastAsia="宋体" w:cs="Arial"/>
            <w:color w:val="262626"/>
            <w:sz w:val="24"/>
            <w:szCs w:val="24"/>
            <w:lang w:eastAsia="zh-CN"/>
          </w:rPr>
          <w:t>Stam CJ</w:t>
        </w:r>
      </w:hyperlink>
      <w:r w:rsidRPr="0053577B">
        <w:rPr>
          <w:rFonts w:eastAsia="宋体" w:cs="Arial"/>
          <w:sz w:val="24"/>
          <w:szCs w:val="24"/>
          <w:lang w:eastAsia="zh-CN"/>
        </w:rPr>
        <w:t xml:space="preserve">, </w:t>
      </w:r>
      <w:hyperlink r:id="rId19" w:history="1">
        <w:r w:rsidRPr="0053577B">
          <w:rPr>
            <w:rFonts w:eastAsia="宋体" w:cs="Arial"/>
            <w:color w:val="262626"/>
            <w:sz w:val="24"/>
            <w:szCs w:val="24"/>
            <w:lang w:eastAsia="zh-CN"/>
          </w:rPr>
          <w:t>Diamant M</w:t>
        </w:r>
      </w:hyperlink>
      <w:r w:rsidR="00C74626" w:rsidRPr="0053577B">
        <w:rPr>
          <w:rFonts w:eastAsia="宋体" w:cs="Arial"/>
          <w:sz w:val="24"/>
          <w:szCs w:val="24"/>
          <w:lang w:eastAsia="zh-CN"/>
        </w:rPr>
        <w:t>. (2009).</w:t>
      </w:r>
      <w:r w:rsidRPr="0053577B">
        <w:rPr>
          <w:rFonts w:eastAsia="宋体" w:cs="Arial"/>
          <w:sz w:val="24"/>
          <w:szCs w:val="24"/>
          <w:lang w:eastAsia="zh-CN"/>
        </w:rPr>
        <w:t xml:space="preserve"> </w:t>
      </w:r>
      <w:r w:rsidRPr="0053577B">
        <w:rPr>
          <w:rFonts w:eastAsia="宋体" w:cs="Arial"/>
          <w:bCs/>
          <w:sz w:val="24"/>
          <w:szCs w:val="24"/>
          <w:lang w:eastAsia="zh-CN"/>
        </w:rPr>
        <w:t xml:space="preserve">Functional Brain Connectivity and Neurocognitive Functioning in Patients With Long-Standing Type 1 Diabetes With and Without </w:t>
      </w:r>
      <w:proofErr w:type="spellStart"/>
      <w:r w:rsidRPr="0053577B">
        <w:rPr>
          <w:rFonts w:eastAsia="宋体" w:cs="Arial"/>
          <w:bCs/>
          <w:sz w:val="24"/>
          <w:szCs w:val="24"/>
          <w:lang w:eastAsia="zh-CN"/>
        </w:rPr>
        <w:t>Microvascular</w:t>
      </w:r>
      <w:proofErr w:type="spellEnd"/>
      <w:r w:rsidRPr="0053577B">
        <w:rPr>
          <w:rFonts w:eastAsia="宋体" w:cs="Arial"/>
          <w:bCs/>
          <w:sz w:val="24"/>
          <w:szCs w:val="24"/>
          <w:lang w:eastAsia="zh-CN"/>
        </w:rPr>
        <w:t xml:space="preserve"> Complications, </w:t>
      </w:r>
      <w:r w:rsidRPr="0053577B">
        <w:rPr>
          <w:rFonts w:eastAsia="宋体" w:cs="Arial"/>
          <w:bCs/>
          <w:i/>
          <w:sz w:val="24"/>
          <w:szCs w:val="24"/>
          <w:lang w:eastAsia="zh-CN"/>
        </w:rPr>
        <w:t>Diabetes</w:t>
      </w:r>
      <w:r w:rsidR="00C74626" w:rsidRPr="0053577B">
        <w:rPr>
          <w:rFonts w:eastAsia="宋体" w:cs="Arial"/>
          <w:bCs/>
          <w:sz w:val="24"/>
          <w:szCs w:val="24"/>
          <w:lang w:eastAsia="zh-CN"/>
        </w:rPr>
        <w:t xml:space="preserve">, 58(10), </w:t>
      </w:r>
      <w:r w:rsidRPr="0053577B">
        <w:rPr>
          <w:rFonts w:eastAsia="宋体" w:cs="Arial"/>
          <w:bCs/>
          <w:sz w:val="24"/>
          <w:szCs w:val="24"/>
          <w:lang w:eastAsia="zh-CN"/>
        </w:rPr>
        <w:t>2335-43.</w:t>
      </w:r>
    </w:p>
    <w:p w14:paraId="325420A1" w14:textId="77777777" w:rsidR="0053577B" w:rsidRPr="0053577B" w:rsidRDefault="00C74626" w:rsidP="0053577B">
      <w:pPr>
        <w:pStyle w:val="a9"/>
        <w:numPr>
          <w:ilvl w:val="0"/>
          <w:numId w:val="1"/>
        </w:numPr>
        <w:autoSpaceDE w:val="0"/>
        <w:autoSpaceDN w:val="0"/>
        <w:adjustRightInd w:val="0"/>
        <w:snapToGrid w:val="0"/>
        <w:spacing w:after="240"/>
        <w:ind w:firstLineChars="0"/>
        <w:jc w:val="both"/>
        <w:rPr>
          <w:rFonts w:eastAsia="宋体" w:cs="Times"/>
          <w:bCs/>
          <w:sz w:val="24"/>
          <w:szCs w:val="24"/>
          <w:lang w:eastAsia="zh-CN"/>
        </w:rPr>
      </w:pPr>
      <w:proofErr w:type="spellStart"/>
      <w:r w:rsidRPr="0053577B">
        <w:rPr>
          <w:rFonts w:eastAsia="宋体" w:cs="Verdana"/>
          <w:color w:val="262626"/>
          <w:sz w:val="24"/>
          <w:szCs w:val="24"/>
          <w:lang w:eastAsia="zh-CN"/>
        </w:rPr>
        <w:t>Safieddine</w:t>
      </w:r>
      <w:proofErr w:type="spellEnd"/>
      <w:r w:rsidRPr="0053577B">
        <w:rPr>
          <w:rFonts w:eastAsia="宋体" w:cs="Verdana"/>
          <w:color w:val="262626"/>
          <w:sz w:val="24"/>
          <w:szCs w:val="24"/>
          <w:lang w:eastAsia="zh-CN"/>
        </w:rPr>
        <w:t xml:space="preserve"> S, </w:t>
      </w:r>
      <w:proofErr w:type="spellStart"/>
      <w:r w:rsidRPr="0053577B">
        <w:rPr>
          <w:rFonts w:eastAsia="宋体" w:cs="Verdana"/>
          <w:color w:val="262626"/>
          <w:sz w:val="24"/>
          <w:szCs w:val="24"/>
          <w:lang w:eastAsia="zh-CN"/>
        </w:rPr>
        <w:t>Eybalin</w:t>
      </w:r>
      <w:proofErr w:type="spellEnd"/>
      <w:r w:rsidRPr="0053577B">
        <w:rPr>
          <w:rFonts w:eastAsia="宋体" w:cs="Verdana"/>
          <w:color w:val="262626"/>
          <w:sz w:val="24"/>
          <w:szCs w:val="24"/>
          <w:lang w:eastAsia="zh-CN"/>
        </w:rPr>
        <w:t xml:space="preserve"> M. (1992).</w:t>
      </w:r>
      <w:r w:rsidR="00404A16" w:rsidRPr="0053577B">
        <w:rPr>
          <w:rFonts w:eastAsia="宋体" w:cs="Verdana"/>
          <w:color w:val="262626"/>
          <w:sz w:val="24"/>
          <w:szCs w:val="24"/>
          <w:lang w:eastAsia="zh-CN"/>
        </w:rPr>
        <w:t xml:space="preserve"> </w:t>
      </w:r>
      <w:r w:rsidR="00404A16" w:rsidRPr="0053577B">
        <w:rPr>
          <w:rFonts w:eastAsia="宋体" w:cs="Verdana"/>
          <w:bCs/>
          <w:sz w:val="24"/>
          <w:szCs w:val="24"/>
          <w:lang w:eastAsia="zh-CN"/>
        </w:rPr>
        <w:t xml:space="preserve">Co-expression of NMDA and AMPA/kainate receptor mRNAs in cochlear </w:t>
      </w:r>
      <w:r w:rsidRPr="0053577B">
        <w:rPr>
          <w:rFonts w:eastAsia="宋体" w:cs="Verdana"/>
          <w:bCs/>
          <w:sz w:val="24"/>
          <w:szCs w:val="24"/>
          <w:lang w:eastAsia="zh-CN"/>
        </w:rPr>
        <w:t>neurons</w:t>
      </w:r>
      <w:r w:rsidRPr="0053577B">
        <w:rPr>
          <w:rFonts w:eastAsia="宋体"/>
          <w:sz w:val="24"/>
          <w:szCs w:val="24"/>
          <w:lang w:eastAsia="zh-CN"/>
        </w:rPr>
        <w:t>,</w:t>
      </w:r>
      <w:r w:rsidR="00404A16" w:rsidRPr="0053577B">
        <w:rPr>
          <w:rFonts w:eastAsia="宋体"/>
          <w:sz w:val="24"/>
          <w:szCs w:val="24"/>
          <w:lang w:eastAsia="zh-CN"/>
        </w:rPr>
        <w:t xml:space="preserve"> </w:t>
      </w:r>
      <w:proofErr w:type="spellStart"/>
      <w:r w:rsidRPr="0053577B">
        <w:rPr>
          <w:rFonts w:eastAsia="宋体"/>
          <w:i/>
          <w:sz w:val="24"/>
          <w:szCs w:val="24"/>
          <w:lang w:eastAsia="zh-CN"/>
        </w:rPr>
        <w:t>Neuroreport</w:t>
      </w:r>
      <w:proofErr w:type="spellEnd"/>
      <w:r w:rsidRPr="0053577B">
        <w:rPr>
          <w:rFonts w:eastAsia="宋体"/>
          <w:sz w:val="24"/>
          <w:szCs w:val="24"/>
          <w:lang w:eastAsia="zh-CN"/>
        </w:rPr>
        <w:t>, 3 (12),</w:t>
      </w:r>
      <w:r w:rsidR="00404A16" w:rsidRPr="0053577B">
        <w:rPr>
          <w:rFonts w:eastAsia="宋体"/>
          <w:sz w:val="24"/>
          <w:szCs w:val="24"/>
          <w:lang w:eastAsia="zh-CN"/>
        </w:rPr>
        <w:t xml:space="preserve"> 1145-8.</w:t>
      </w:r>
    </w:p>
    <w:p w14:paraId="12BD183E" w14:textId="607491EF" w:rsidR="0053577B" w:rsidRPr="0053577B" w:rsidRDefault="00404A16" w:rsidP="0053577B">
      <w:pPr>
        <w:pStyle w:val="a9"/>
        <w:numPr>
          <w:ilvl w:val="0"/>
          <w:numId w:val="1"/>
        </w:numPr>
        <w:autoSpaceDE w:val="0"/>
        <w:autoSpaceDN w:val="0"/>
        <w:adjustRightInd w:val="0"/>
        <w:snapToGrid w:val="0"/>
        <w:spacing w:after="240"/>
        <w:ind w:firstLineChars="0"/>
        <w:jc w:val="both"/>
        <w:rPr>
          <w:rFonts w:eastAsia="宋体" w:cs="Times"/>
          <w:bCs/>
          <w:sz w:val="24"/>
          <w:szCs w:val="24"/>
          <w:lang w:eastAsia="zh-CN"/>
        </w:rPr>
      </w:pPr>
      <w:r w:rsidRPr="0053577B">
        <w:rPr>
          <w:rFonts w:eastAsia="宋体" w:cs="Arial"/>
          <w:color w:val="262626"/>
          <w:sz w:val="24"/>
          <w:szCs w:val="24"/>
          <w:lang w:eastAsia="zh-CN"/>
        </w:rPr>
        <w:t>Breese CR</w:t>
      </w:r>
      <w:r w:rsidRPr="0053577B">
        <w:rPr>
          <w:rFonts w:eastAsia="宋体" w:cs="Arial"/>
          <w:sz w:val="24"/>
          <w:szCs w:val="24"/>
          <w:lang w:eastAsia="zh-CN"/>
        </w:rPr>
        <w:t xml:space="preserve">, </w:t>
      </w:r>
      <w:hyperlink r:id="rId20" w:history="1">
        <w:r w:rsidRPr="0053577B">
          <w:rPr>
            <w:rFonts w:eastAsia="宋体" w:cs="Arial"/>
            <w:color w:val="262626"/>
            <w:sz w:val="24"/>
            <w:szCs w:val="24"/>
            <w:lang w:eastAsia="zh-CN"/>
          </w:rPr>
          <w:t>Logel J</w:t>
        </w:r>
      </w:hyperlink>
      <w:r w:rsidRPr="0053577B">
        <w:rPr>
          <w:rFonts w:eastAsia="宋体" w:cs="Arial"/>
          <w:sz w:val="24"/>
          <w:szCs w:val="24"/>
          <w:lang w:eastAsia="zh-CN"/>
        </w:rPr>
        <w:t xml:space="preserve">, </w:t>
      </w:r>
      <w:hyperlink r:id="rId21" w:history="1">
        <w:r w:rsidRPr="0053577B">
          <w:rPr>
            <w:rFonts w:eastAsia="宋体" w:cs="Arial"/>
            <w:color w:val="262626"/>
            <w:sz w:val="24"/>
            <w:szCs w:val="24"/>
            <w:lang w:eastAsia="zh-CN"/>
          </w:rPr>
          <w:t>Adams C</w:t>
        </w:r>
      </w:hyperlink>
      <w:r w:rsidRPr="0053577B">
        <w:rPr>
          <w:rFonts w:eastAsia="宋体" w:cs="Arial"/>
          <w:sz w:val="24"/>
          <w:szCs w:val="24"/>
          <w:lang w:eastAsia="zh-CN"/>
        </w:rPr>
        <w:t xml:space="preserve">, </w:t>
      </w:r>
      <w:hyperlink r:id="rId22" w:history="1">
        <w:r w:rsidRPr="0053577B">
          <w:rPr>
            <w:rFonts w:eastAsia="宋体" w:cs="Arial"/>
            <w:color w:val="262626"/>
            <w:sz w:val="24"/>
            <w:szCs w:val="24"/>
            <w:lang w:eastAsia="zh-CN"/>
          </w:rPr>
          <w:t>Leonard SS</w:t>
        </w:r>
      </w:hyperlink>
      <w:r w:rsidR="0053577B" w:rsidRPr="0053577B">
        <w:rPr>
          <w:rFonts w:eastAsia="宋体" w:cs="Arial"/>
          <w:sz w:val="24"/>
          <w:szCs w:val="24"/>
          <w:lang w:eastAsia="zh-CN"/>
        </w:rPr>
        <w:t>. (1996).</w:t>
      </w:r>
      <w:r w:rsidRPr="0053577B">
        <w:rPr>
          <w:rFonts w:eastAsia="宋体" w:cs="Arial"/>
          <w:sz w:val="24"/>
          <w:szCs w:val="24"/>
          <w:lang w:eastAsia="zh-CN"/>
        </w:rPr>
        <w:t xml:space="preserve"> </w:t>
      </w:r>
      <w:r w:rsidRPr="0053577B">
        <w:rPr>
          <w:rFonts w:eastAsia="宋体" w:cs="Arial"/>
          <w:bCs/>
          <w:sz w:val="24"/>
          <w:szCs w:val="24"/>
          <w:lang w:eastAsia="zh-CN"/>
        </w:rPr>
        <w:t xml:space="preserve">Regional gene expression of the glutamate receptor subtypes GluR1, GluR2, and GluR3 in human postmortem brain, </w:t>
      </w:r>
      <w:r w:rsidRPr="0053577B">
        <w:rPr>
          <w:rFonts w:eastAsia="宋体" w:cs="Arial"/>
          <w:i/>
          <w:color w:val="262626"/>
          <w:sz w:val="24"/>
          <w:szCs w:val="24"/>
          <w:lang w:eastAsia="zh-CN"/>
        </w:rPr>
        <w:t xml:space="preserve">J </w:t>
      </w:r>
      <w:proofErr w:type="spellStart"/>
      <w:r w:rsidRPr="0053577B">
        <w:rPr>
          <w:rFonts w:eastAsia="宋体" w:cs="Arial"/>
          <w:i/>
          <w:color w:val="262626"/>
          <w:sz w:val="24"/>
          <w:szCs w:val="24"/>
          <w:lang w:eastAsia="zh-CN"/>
        </w:rPr>
        <w:t>Mol</w:t>
      </w:r>
      <w:proofErr w:type="spellEnd"/>
      <w:r w:rsidRPr="0053577B">
        <w:rPr>
          <w:rFonts w:eastAsia="宋体" w:cs="Arial"/>
          <w:i/>
          <w:color w:val="262626"/>
          <w:sz w:val="24"/>
          <w:szCs w:val="24"/>
          <w:lang w:eastAsia="zh-CN"/>
        </w:rPr>
        <w:t xml:space="preserve"> </w:t>
      </w:r>
      <w:proofErr w:type="spellStart"/>
      <w:r w:rsidRPr="0053577B">
        <w:rPr>
          <w:rFonts w:eastAsia="宋体" w:cs="Arial"/>
          <w:i/>
          <w:color w:val="262626"/>
          <w:sz w:val="24"/>
          <w:szCs w:val="24"/>
          <w:lang w:eastAsia="zh-CN"/>
        </w:rPr>
        <w:t>Neurosci</w:t>
      </w:r>
      <w:proofErr w:type="spellEnd"/>
      <w:r w:rsidR="0053577B" w:rsidRPr="0053577B">
        <w:rPr>
          <w:rFonts w:eastAsia="宋体" w:cs="Arial"/>
          <w:i/>
          <w:color w:val="262626"/>
          <w:sz w:val="24"/>
          <w:szCs w:val="24"/>
          <w:lang w:eastAsia="zh-CN"/>
        </w:rPr>
        <w:t>,</w:t>
      </w:r>
      <w:r w:rsidR="0053577B" w:rsidRPr="0053577B">
        <w:rPr>
          <w:rFonts w:eastAsia="宋体" w:cs="Arial"/>
          <w:sz w:val="24"/>
          <w:szCs w:val="24"/>
          <w:lang w:eastAsia="zh-CN"/>
        </w:rPr>
        <w:t xml:space="preserve"> 7(4), </w:t>
      </w:r>
      <w:r w:rsidRPr="0053577B">
        <w:rPr>
          <w:rFonts w:eastAsia="宋体" w:cs="Arial"/>
          <w:sz w:val="24"/>
          <w:szCs w:val="24"/>
          <w:lang w:eastAsia="zh-CN"/>
        </w:rPr>
        <w:t>277-89.</w:t>
      </w:r>
    </w:p>
    <w:p w14:paraId="08D0E3EE" w14:textId="7B57B77F" w:rsidR="005B46FE" w:rsidRPr="0053577B" w:rsidRDefault="0053577B" w:rsidP="0053577B">
      <w:pPr>
        <w:pStyle w:val="1"/>
        <w:numPr>
          <w:ilvl w:val="0"/>
          <w:numId w:val="1"/>
        </w:numPr>
        <w:snapToGrid w:val="0"/>
        <w:spacing w:line="276" w:lineRule="auto"/>
        <w:contextualSpacing w:val="0"/>
        <w:jc w:val="both"/>
        <w:rPr>
          <w:rFonts w:asciiTheme="minorHAnsi" w:eastAsia="宋体" w:hAnsiTheme="minorHAnsi"/>
          <w:lang w:eastAsia="zh-CN"/>
        </w:rPr>
      </w:pPr>
      <w:proofErr w:type="spellStart"/>
      <w:r w:rsidRPr="0053577B">
        <w:rPr>
          <w:rFonts w:asciiTheme="minorHAnsi" w:hAnsiTheme="minorHAnsi" w:cs="Times"/>
          <w:color w:val="262626"/>
        </w:rPr>
        <w:t>Pellegrini-Giampietro</w:t>
      </w:r>
      <w:proofErr w:type="spellEnd"/>
      <w:r w:rsidRPr="0053577B">
        <w:rPr>
          <w:rFonts w:asciiTheme="minorHAnsi" w:hAnsiTheme="minorHAnsi" w:cs="Times"/>
          <w:color w:val="262626"/>
        </w:rPr>
        <w:t xml:space="preserve">, D. (1991). Differential Expression of Three Glutamate Receptor Genes in Developing Rat Brain: An in situ Hybridization Study. </w:t>
      </w:r>
      <w:r w:rsidRPr="0053577B">
        <w:rPr>
          <w:rFonts w:asciiTheme="minorHAnsi" w:hAnsiTheme="minorHAnsi" w:cs="Times"/>
          <w:i/>
          <w:iCs/>
          <w:color w:val="262626"/>
        </w:rPr>
        <w:t>Proceedings of the National Academy of Sciences,</w:t>
      </w:r>
      <w:r w:rsidRPr="0053577B">
        <w:rPr>
          <w:rFonts w:asciiTheme="minorHAnsi" w:hAnsiTheme="minorHAnsi" w:cs="Times"/>
          <w:color w:val="262626"/>
        </w:rPr>
        <w:t xml:space="preserve"> </w:t>
      </w:r>
      <w:r w:rsidRPr="0053577B">
        <w:rPr>
          <w:rFonts w:asciiTheme="minorHAnsi" w:hAnsiTheme="minorHAnsi" w:cs="Times"/>
          <w:i/>
          <w:iCs/>
          <w:color w:val="262626"/>
        </w:rPr>
        <w:t>88</w:t>
      </w:r>
      <w:r w:rsidRPr="0053577B">
        <w:rPr>
          <w:rFonts w:asciiTheme="minorHAnsi" w:hAnsiTheme="minorHAnsi" w:cs="Times"/>
          <w:color w:val="262626"/>
        </w:rPr>
        <w:t>(10), 4157-4161.</w:t>
      </w:r>
    </w:p>
    <w:p w14:paraId="50C4CA4C" w14:textId="77777777" w:rsidR="005B46FE" w:rsidRPr="0053577B" w:rsidRDefault="005B46FE" w:rsidP="0053577B">
      <w:pPr>
        <w:pStyle w:val="1"/>
        <w:snapToGrid w:val="0"/>
        <w:spacing w:line="276" w:lineRule="auto"/>
        <w:contextualSpacing w:val="0"/>
        <w:jc w:val="both"/>
        <w:rPr>
          <w:rFonts w:asciiTheme="minorHAnsi" w:hAnsiTheme="minorHAnsi"/>
        </w:rPr>
      </w:pPr>
    </w:p>
    <w:p w14:paraId="28919F3A" w14:textId="77777777" w:rsidR="005B46FE" w:rsidRPr="0053577B" w:rsidRDefault="005B46FE" w:rsidP="0053577B">
      <w:pPr>
        <w:autoSpaceDE w:val="0"/>
        <w:autoSpaceDN w:val="0"/>
        <w:adjustRightInd w:val="0"/>
        <w:snapToGrid w:val="0"/>
        <w:spacing w:after="240"/>
        <w:jc w:val="both"/>
        <w:rPr>
          <w:rFonts w:eastAsia="宋体" w:cs="Times"/>
          <w:sz w:val="24"/>
          <w:szCs w:val="24"/>
          <w:lang w:eastAsia="zh-CN"/>
        </w:rPr>
      </w:pPr>
    </w:p>
    <w:p w14:paraId="759630D6" w14:textId="77777777" w:rsidR="005B46FE" w:rsidRPr="0053577B" w:rsidRDefault="005B46FE" w:rsidP="0053577B">
      <w:pPr>
        <w:snapToGrid w:val="0"/>
        <w:jc w:val="both"/>
        <w:rPr>
          <w:sz w:val="24"/>
          <w:szCs w:val="24"/>
        </w:rPr>
      </w:pPr>
    </w:p>
    <w:p w14:paraId="1DDC677F" w14:textId="77777777" w:rsidR="005B46FE" w:rsidRPr="0053577B" w:rsidRDefault="005B46FE" w:rsidP="0053577B">
      <w:pPr>
        <w:snapToGrid w:val="0"/>
        <w:jc w:val="both"/>
        <w:rPr>
          <w:sz w:val="24"/>
          <w:szCs w:val="24"/>
        </w:rPr>
      </w:pPr>
    </w:p>
    <w:p w14:paraId="2B7B4064" w14:textId="77777777" w:rsidR="005B46FE" w:rsidRPr="0053577B" w:rsidRDefault="005B46FE" w:rsidP="0053577B">
      <w:pPr>
        <w:snapToGrid w:val="0"/>
        <w:jc w:val="both"/>
        <w:rPr>
          <w:sz w:val="24"/>
          <w:szCs w:val="24"/>
        </w:rPr>
      </w:pPr>
    </w:p>
    <w:p w14:paraId="3261FA38" w14:textId="77777777" w:rsidR="005B46FE" w:rsidRPr="0053577B" w:rsidRDefault="005B46FE" w:rsidP="0053577B">
      <w:pPr>
        <w:snapToGrid w:val="0"/>
        <w:jc w:val="both"/>
        <w:rPr>
          <w:sz w:val="24"/>
          <w:szCs w:val="24"/>
        </w:rPr>
      </w:pPr>
    </w:p>
    <w:p w14:paraId="2A33E8BB" w14:textId="77777777" w:rsidR="00847E06" w:rsidRPr="0053577B" w:rsidRDefault="00847E06" w:rsidP="0053577B">
      <w:pPr>
        <w:snapToGrid w:val="0"/>
        <w:jc w:val="both"/>
        <w:rPr>
          <w:sz w:val="24"/>
          <w:szCs w:val="24"/>
        </w:rPr>
      </w:pPr>
    </w:p>
    <w:sectPr w:rsidR="00847E06" w:rsidRPr="0053577B">
      <w:pgSz w:w="11900" w:h="16840"/>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23430" w14:textId="77777777" w:rsidR="00FD1908" w:rsidRDefault="00FD1908" w:rsidP="005E4C3F">
      <w:pPr>
        <w:spacing w:after="0" w:line="240" w:lineRule="auto"/>
      </w:pPr>
      <w:r>
        <w:separator/>
      </w:r>
    </w:p>
  </w:endnote>
  <w:endnote w:type="continuationSeparator" w:id="0">
    <w:p w14:paraId="360618C3" w14:textId="77777777" w:rsidR="00FD1908" w:rsidRDefault="00FD1908" w:rsidP="005E4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EE671" w14:textId="77777777" w:rsidR="00FD1908" w:rsidRPr="0048664F" w:rsidRDefault="00FD1908" w:rsidP="00605B09">
    <w:pPr>
      <w:pStyle w:val="a3"/>
      <w:pBdr>
        <w:top w:val="single" w:sz="8" w:space="1" w:color="auto"/>
      </w:pBdr>
      <w:rPr>
        <w:sz w:val="18"/>
        <w:szCs w:val="18"/>
      </w:rPr>
    </w:pPr>
    <w:r w:rsidRPr="0048664F">
      <w:rPr>
        <w:sz w:val="18"/>
        <w:szCs w:val="18"/>
      </w:rPr>
      <w:t>Confidential</w:t>
    </w:r>
    <w:r w:rsidRPr="0048664F">
      <w:rPr>
        <w:sz w:val="18"/>
        <w:szCs w:val="18"/>
      </w:rPr>
      <w:tab/>
      <w:t xml:space="preserve">Page </w:t>
    </w:r>
    <w:r w:rsidRPr="0048664F">
      <w:rPr>
        <w:sz w:val="18"/>
        <w:szCs w:val="18"/>
      </w:rPr>
      <w:fldChar w:fldCharType="begin"/>
    </w:r>
    <w:r w:rsidRPr="0048664F">
      <w:rPr>
        <w:sz w:val="18"/>
        <w:szCs w:val="18"/>
      </w:rPr>
      <w:instrText xml:space="preserve"> PAGE </w:instrText>
    </w:r>
    <w:r w:rsidRPr="0048664F">
      <w:rPr>
        <w:sz w:val="18"/>
        <w:szCs w:val="18"/>
      </w:rPr>
      <w:fldChar w:fldCharType="separate"/>
    </w:r>
    <w:r w:rsidR="00A1523C">
      <w:rPr>
        <w:noProof/>
        <w:sz w:val="18"/>
        <w:szCs w:val="18"/>
      </w:rPr>
      <w:t>4</w:t>
    </w:r>
    <w:r w:rsidRPr="0048664F">
      <w:rPr>
        <w:sz w:val="18"/>
        <w:szCs w:val="18"/>
      </w:rPr>
      <w:fldChar w:fldCharType="end"/>
    </w:r>
    <w:r w:rsidRPr="0048664F">
      <w:rPr>
        <w:sz w:val="18"/>
        <w:szCs w:val="18"/>
      </w:rPr>
      <w:tab/>
    </w:r>
    <w:r w:rsidRPr="0048664F">
      <w:rPr>
        <w:sz w:val="18"/>
        <w:szCs w:val="18"/>
      </w:rPr>
      <w:fldChar w:fldCharType="begin"/>
    </w:r>
    <w:r w:rsidRPr="0048664F">
      <w:rPr>
        <w:sz w:val="18"/>
        <w:szCs w:val="18"/>
      </w:rPr>
      <w:instrText xml:space="preserve"> DATE \@ "M/d/yyyy" </w:instrText>
    </w:r>
    <w:r w:rsidRPr="0048664F">
      <w:rPr>
        <w:sz w:val="18"/>
        <w:szCs w:val="18"/>
      </w:rPr>
      <w:fldChar w:fldCharType="separate"/>
    </w:r>
    <w:r w:rsidR="00A1523C">
      <w:rPr>
        <w:noProof/>
        <w:sz w:val="18"/>
        <w:szCs w:val="18"/>
      </w:rPr>
      <w:t>10/31/2014</w:t>
    </w:r>
    <w:r w:rsidRPr="0048664F">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A5BC8" w14:textId="77777777" w:rsidR="00FD1908" w:rsidRDefault="00FD1908" w:rsidP="005E4C3F">
      <w:pPr>
        <w:spacing w:after="0" w:line="240" w:lineRule="auto"/>
      </w:pPr>
      <w:r>
        <w:separator/>
      </w:r>
    </w:p>
  </w:footnote>
  <w:footnote w:type="continuationSeparator" w:id="0">
    <w:p w14:paraId="5488DB34" w14:textId="77777777" w:rsidR="00FD1908" w:rsidRDefault="00FD1908" w:rsidP="005E4C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54B5E"/>
    <w:multiLevelType w:val="hybridMultilevel"/>
    <w:tmpl w:val="D7A21742"/>
    <w:lvl w:ilvl="0" w:tplc="E256BE58">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75"/>
    <w:rsid w:val="00002772"/>
    <w:rsid w:val="00043197"/>
    <w:rsid w:val="00043376"/>
    <w:rsid w:val="001307AC"/>
    <w:rsid w:val="00153BB8"/>
    <w:rsid w:val="001669E6"/>
    <w:rsid w:val="00174EE0"/>
    <w:rsid w:val="00176777"/>
    <w:rsid w:val="001B15D7"/>
    <w:rsid w:val="001C5715"/>
    <w:rsid w:val="001F2B00"/>
    <w:rsid w:val="00277F84"/>
    <w:rsid w:val="002C05B0"/>
    <w:rsid w:val="002C063B"/>
    <w:rsid w:val="002E1362"/>
    <w:rsid w:val="002E2FA3"/>
    <w:rsid w:val="00392432"/>
    <w:rsid w:val="00404450"/>
    <w:rsid w:val="00404A16"/>
    <w:rsid w:val="00441413"/>
    <w:rsid w:val="0045171C"/>
    <w:rsid w:val="004A38A9"/>
    <w:rsid w:val="004A645D"/>
    <w:rsid w:val="004C116B"/>
    <w:rsid w:val="005023D3"/>
    <w:rsid w:val="0053577B"/>
    <w:rsid w:val="00596B3E"/>
    <w:rsid w:val="005B46FE"/>
    <w:rsid w:val="005E2D3D"/>
    <w:rsid w:val="005E4C3F"/>
    <w:rsid w:val="00605B09"/>
    <w:rsid w:val="006144BA"/>
    <w:rsid w:val="006547FA"/>
    <w:rsid w:val="006F2CF6"/>
    <w:rsid w:val="006F6D71"/>
    <w:rsid w:val="00754BEB"/>
    <w:rsid w:val="007828EF"/>
    <w:rsid w:val="007F0E11"/>
    <w:rsid w:val="008358C4"/>
    <w:rsid w:val="00847E06"/>
    <w:rsid w:val="00852C3C"/>
    <w:rsid w:val="00863728"/>
    <w:rsid w:val="008715FD"/>
    <w:rsid w:val="008A3417"/>
    <w:rsid w:val="008C197E"/>
    <w:rsid w:val="0093664F"/>
    <w:rsid w:val="009647D7"/>
    <w:rsid w:val="009F6207"/>
    <w:rsid w:val="00A1523C"/>
    <w:rsid w:val="00A278F1"/>
    <w:rsid w:val="00A61264"/>
    <w:rsid w:val="00A80CC4"/>
    <w:rsid w:val="00AB2DBC"/>
    <w:rsid w:val="00AC1A10"/>
    <w:rsid w:val="00B478B5"/>
    <w:rsid w:val="00B53161"/>
    <w:rsid w:val="00BA5DFB"/>
    <w:rsid w:val="00BC7DBA"/>
    <w:rsid w:val="00C10277"/>
    <w:rsid w:val="00C16E0A"/>
    <w:rsid w:val="00C74626"/>
    <w:rsid w:val="00CC2DC6"/>
    <w:rsid w:val="00D109FE"/>
    <w:rsid w:val="00D34987"/>
    <w:rsid w:val="00D36167"/>
    <w:rsid w:val="00D47747"/>
    <w:rsid w:val="00D66A89"/>
    <w:rsid w:val="00D71ECB"/>
    <w:rsid w:val="00D87529"/>
    <w:rsid w:val="00DA664D"/>
    <w:rsid w:val="00DB6962"/>
    <w:rsid w:val="00DC2EEE"/>
    <w:rsid w:val="00DE7375"/>
    <w:rsid w:val="00E011BA"/>
    <w:rsid w:val="00E56B8C"/>
    <w:rsid w:val="00E74E69"/>
    <w:rsid w:val="00EC7A75"/>
    <w:rsid w:val="00ED6EF9"/>
    <w:rsid w:val="00F05650"/>
    <w:rsid w:val="00F36432"/>
    <w:rsid w:val="00F6629D"/>
    <w:rsid w:val="00FB5B31"/>
    <w:rsid w:val="00FD1160"/>
    <w:rsid w:val="00FD1908"/>
    <w:rsid w:val="00FF3440"/>
    <w:rsid w:val="00FF743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EB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5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C7A75"/>
    <w:pPr>
      <w:tabs>
        <w:tab w:val="center" w:pos="4513"/>
        <w:tab w:val="right" w:pos="9026"/>
      </w:tabs>
      <w:spacing w:after="0" w:line="240" w:lineRule="auto"/>
    </w:pPr>
  </w:style>
  <w:style w:type="character" w:customStyle="1" w:styleId="a4">
    <w:name w:val="页脚字符"/>
    <w:basedOn w:val="a0"/>
    <w:link w:val="a3"/>
    <w:uiPriority w:val="99"/>
    <w:rsid w:val="00EC7A75"/>
  </w:style>
  <w:style w:type="character" w:styleId="a5">
    <w:name w:val="Placeholder Text"/>
    <w:basedOn w:val="a0"/>
    <w:uiPriority w:val="99"/>
    <w:semiHidden/>
    <w:rsid w:val="0093664F"/>
    <w:rPr>
      <w:color w:val="808080"/>
    </w:rPr>
  </w:style>
  <w:style w:type="table" w:styleId="a6">
    <w:name w:val="Table Grid"/>
    <w:basedOn w:val="a1"/>
    <w:uiPriority w:val="59"/>
    <w:rsid w:val="00C10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47E06"/>
    <w:pPr>
      <w:spacing w:after="0" w:line="240" w:lineRule="auto"/>
    </w:pPr>
    <w:rPr>
      <w:rFonts w:ascii="Tahoma" w:hAnsi="Tahoma" w:cs="Tahoma"/>
      <w:sz w:val="16"/>
      <w:szCs w:val="16"/>
    </w:rPr>
  </w:style>
  <w:style w:type="character" w:customStyle="1" w:styleId="a8">
    <w:name w:val="批注框文本字符"/>
    <w:basedOn w:val="a0"/>
    <w:link w:val="a7"/>
    <w:uiPriority w:val="99"/>
    <w:semiHidden/>
    <w:rsid w:val="00847E06"/>
    <w:rPr>
      <w:rFonts w:ascii="Tahoma" w:hAnsi="Tahoma" w:cs="Tahoma"/>
      <w:sz w:val="16"/>
      <w:szCs w:val="16"/>
    </w:rPr>
  </w:style>
  <w:style w:type="paragraph" w:customStyle="1" w:styleId="1">
    <w:name w:val="列出段落1"/>
    <w:basedOn w:val="a"/>
    <w:rsid w:val="005B46FE"/>
    <w:pPr>
      <w:spacing w:after="0" w:line="240" w:lineRule="auto"/>
      <w:ind w:left="720"/>
      <w:contextualSpacing/>
    </w:pPr>
    <w:rPr>
      <w:rFonts w:ascii="Cambria" w:eastAsia="ＭＳ 明朝" w:hAnsi="Cambria" w:cs="Times New Roman"/>
      <w:sz w:val="24"/>
      <w:szCs w:val="24"/>
      <w:lang w:val="en-US"/>
    </w:rPr>
  </w:style>
  <w:style w:type="paragraph" w:styleId="a9">
    <w:name w:val="List Paragraph"/>
    <w:basedOn w:val="a"/>
    <w:uiPriority w:val="34"/>
    <w:qFormat/>
    <w:rsid w:val="00404A16"/>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5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C7A75"/>
    <w:pPr>
      <w:tabs>
        <w:tab w:val="center" w:pos="4513"/>
        <w:tab w:val="right" w:pos="9026"/>
      </w:tabs>
      <w:spacing w:after="0" w:line="240" w:lineRule="auto"/>
    </w:pPr>
  </w:style>
  <w:style w:type="character" w:customStyle="1" w:styleId="a4">
    <w:name w:val="页脚字符"/>
    <w:basedOn w:val="a0"/>
    <w:link w:val="a3"/>
    <w:uiPriority w:val="99"/>
    <w:rsid w:val="00EC7A75"/>
  </w:style>
  <w:style w:type="character" w:styleId="a5">
    <w:name w:val="Placeholder Text"/>
    <w:basedOn w:val="a0"/>
    <w:uiPriority w:val="99"/>
    <w:semiHidden/>
    <w:rsid w:val="0093664F"/>
    <w:rPr>
      <w:color w:val="808080"/>
    </w:rPr>
  </w:style>
  <w:style w:type="table" w:styleId="a6">
    <w:name w:val="Table Grid"/>
    <w:basedOn w:val="a1"/>
    <w:uiPriority w:val="59"/>
    <w:rsid w:val="00C10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47E06"/>
    <w:pPr>
      <w:spacing w:after="0" w:line="240" w:lineRule="auto"/>
    </w:pPr>
    <w:rPr>
      <w:rFonts w:ascii="Tahoma" w:hAnsi="Tahoma" w:cs="Tahoma"/>
      <w:sz w:val="16"/>
      <w:szCs w:val="16"/>
    </w:rPr>
  </w:style>
  <w:style w:type="character" w:customStyle="1" w:styleId="a8">
    <w:name w:val="批注框文本字符"/>
    <w:basedOn w:val="a0"/>
    <w:link w:val="a7"/>
    <w:uiPriority w:val="99"/>
    <w:semiHidden/>
    <w:rsid w:val="00847E06"/>
    <w:rPr>
      <w:rFonts w:ascii="Tahoma" w:hAnsi="Tahoma" w:cs="Tahoma"/>
      <w:sz w:val="16"/>
      <w:szCs w:val="16"/>
    </w:rPr>
  </w:style>
  <w:style w:type="paragraph" w:customStyle="1" w:styleId="1">
    <w:name w:val="列出段落1"/>
    <w:basedOn w:val="a"/>
    <w:rsid w:val="005B46FE"/>
    <w:pPr>
      <w:spacing w:after="0" w:line="240" w:lineRule="auto"/>
      <w:ind w:left="720"/>
      <w:contextualSpacing/>
    </w:pPr>
    <w:rPr>
      <w:rFonts w:ascii="Cambria" w:eastAsia="ＭＳ 明朝" w:hAnsi="Cambria" w:cs="Times New Roman"/>
      <w:sz w:val="24"/>
      <w:szCs w:val="24"/>
      <w:lang w:val="en-US"/>
    </w:rPr>
  </w:style>
  <w:style w:type="paragraph" w:styleId="a9">
    <w:name w:val="List Paragraph"/>
    <w:basedOn w:val="a"/>
    <w:uiPriority w:val="34"/>
    <w:qFormat/>
    <w:rsid w:val="00404A1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ncbi.nlm.nih.gov/pubmed?term=Logel%20J%5BAuthor%5D&amp;cauthor=true&amp;cauthor_uid=8968949" TargetMode="External"/><Relationship Id="rId21" Type="http://schemas.openxmlformats.org/officeDocument/2006/relationships/hyperlink" Target="http://www.ncbi.nlm.nih.gov/pubmed?term=Adams%20C%5BAuthor%5D&amp;cauthor=true&amp;cauthor_uid=8968949" TargetMode="External"/><Relationship Id="rId22" Type="http://schemas.openxmlformats.org/officeDocument/2006/relationships/hyperlink" Target="http://www.ncbi.nlm.nih.gov/pubmed?term=Leonard%20SS%5BAuthor%5D&amp;cauthor=true&amp;cauthor_uid=8968949"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2.jpeg"/><Relationship Id="rId12" Type="http://schemas.openxmlformats.org/officeDocument/2006/relationships/image" Target="media/image3.emf"/><Relationship Id="rId13" Type="http://schemas.openxmlformats.org/officeDocument/2006/relationships/hyperlink" Target="http://www.ncbi.nlm.nih.gov/pubmed?term=Klein%20M%5BAuthor%5D&amp;cauthor=true&amp;cauthor_uid=19584309" TargetMode="External"/><Relationship Id="rId14" Type="http://schemas.openxmlformats.org/officeDocument/2006/relationships/hyperlink" Target="http://www.ncbi.nlm.nih.gov/pubmed?term=Schoonenboom%20NS%5BAuthor%5D&amp;cauthor=true&amp;cauthor_uid=19584309" TargetMode="External"/><Relationship Id="rId15" Type="http://schemas.openxmlformats.org/officeDocument/2006/relationships/hyperlink" Target="http://www.ncbi.nlm.nih.gov/pubmed?term=Hoogma%20RP%5BAuthor%5D&amp;cauthor=true&amp;cauthor_uid=19584309" TargetMode="External"/><Relationship Id="rId16" Type="http://schemas.openxmlformats.org/officeDocument/2006/relationships/hyperlink" Target="http://www.ncbi.nlm.nih.gov/pubmed?term=Moll%20AC%5BAuthor%5D&amp;cauthor=true&amp;cauthor_uid=19584309" TargetMode="External"/><Relationship Id="rId17" Type="http://schemas.openxmlformats.org/officeDocument/2006/relationships/hyperlink" Target="http://www.ncbi.nlm.nih.gov/pubmed?term=Snoek%20FJ%5BAuthor%5D&amp;cauthor=true&amp;cauthor_uid=19584309" TargetMode="External"/><Relationship Id="rId18" Type="http://schemas.openxmlformats.org/officeDocument/2006/relationships/hyperlink" Target="http://www.ncbi.nlm.nih.gov/pubmed?term=Stam%20CJ%5BAuthor%5D&amp;cauthor=true&amp;cauthor_uid=19584309" TargetMode="External"/><Relationship Id="rId19" Type="http://schemas.openxmlformats.org/officeDocument/2006/relationships/hyperlink" Target="http://www.ncbi.nlm.nih.gov/pubmed?term=Diamant%20M%5BAuthor%5D&amp;cauthor=true&amp;cauthor_uid=1958430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B3A4A-0998-D742-8110-440AD6B7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2503</Words>
  <Characters>13019</Characters>
  <Application>Microsoft Macintosh Word</Application>
  <DocSecurity>0</DocSecurity>
  <Lines>464</Lines>
  <Paragraphs>73</Paragraphs>
  <ScaleCrop>false</ScaleCrop>
  <HeadingPairs>
    <vt:vector size="2" baseType="variant">
      <vt:variant>
        <vt:lpstr>Title</vt:lpstr>
      </vt:variant>
      <vt:variant>
        <vt:i4>1</vt:i4>
      </vt:variant>
    </vt:vector>
  </HeadingPairs>
  <TitlesOfParts>
    <vt:vector size="1" baseType="lpstr">
      <vt:lpstr/>
    </vt:vector>
  </TitlesOfParts>
  <Company>Faculty of Science</Company>
  <LinksUpToDate>false</LinksUpToDate>
  <CharactersWithSpaces>15449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uqsfox</dc:creator>
  <cp:keywords/>
  <dc:description/>
  <cp:lastModifiedBy>Zhen ZHANG</cp:lastModifiedBy>
  <cp:revision>2</cp:revision>
  <dcterms:created xsi:type="dcterms:W3CDTF">2014-10-31T11:48:00Z</dcterms:created>
  <dcterms:modified xsi:type="dcterms:W3CDTF">2014-10-31T11:48:00Z</dcterms:modified>
</cp:coreProperties>
</file>